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Acta de constitución del nuevo AFRISAN</w:t>
      </w:r>
    </w:p>
    <w:p>
      <w:pPr>
        <w:pStyle w:val="Subtitle"/>
      </w:pPr>
      <w:r>
        <w:t>Proyecto APT de Dante Moya  Actualización al 29 de octubre de 2026</w:t>
      </w:r>
    </w:p>
    <w:p>
      <w:r>
        <w:t>Responsable actual Dante Moya · Versión documental en español del 29 de octubre de 2026</w:t>
      </w:r>
    </w:p>
    <w:p>
      <w:pPr>
        <w:pStyle w:val="Heading1"/>
      </w:pPr>
      <w:r>
        <w:t>1 Identificación y propósito</w:t>
      </w:r>
    </w:p>
    <w:p>
      <w:r>
        <w:t>El nuevo AFRISAN desarrolla un sistema de gestión y trazabilidad de refrigerantes y cilindros físicos para Accesorios Frigoríficos Santiago Limitada. La actualización concentra la responsabilidad actual en Dante Moya y alinea requisitos, flujo y datos con el reemplazo físico de envases aclarado durante octubre de 2026. [1] [3]</w:t>
      </w:r>
    </w:p>
    <w:p>
      <w:r>
        <w:t>Institución: Duoc UC, Escuela de Informática y Telecomunicaciones, sede Melipilla. Carrera: Ingeniería en Informática. Asignatura: Portafolio de Título o Capstone según la pauta. Docente guía registrado: Carlos Quintanilla. Contraparte registrada: Carlos Aguilera. La versión se emite con corte documental del 28 de octubre de 2026.</w:t>
      </w:r>
    </w:p>
    <w:p>
      <w:r>
        <w:t>Dante Moya es el único integrante actual desde la continuidad informada el 16 de octubre. Los aportes previos de Carolina Ávila Medina y Yarek Larraguibel conservan su autoría en los antecedentes. La aplicación individual de la evaluación grupal debe acordarse con el docente.</w:t>
      </w:r>
    </w:p>
    <w:p>
      <w:pPr>
        <w:pStyle w:val="Heading1"/>
      </w:pPr>
      <w:r>
        <w:t>2 Necesidad y justificación</w:t>
      </w:r>
    </w:p>
    <w:p>
      <w:r>
        <w:t>La necesidad operativa es conocer qué cilindros existen, qué refrigerante contiene cada uno, dónde se encuentran y quién tiene su custodia. El control debe relacionar solicitudes de sucursal, autorizaciones, retiros, cambios físicos, pesajes, fotografías y recepción, evitando depender de una cantidad global de envases sin identidad individual. [4] [5]</w:t>
      </w:r>
    </w:p>
    <w:p>
      <w:r>
        <w:t>La aclaración central del negocio distingue el cilindro instalado que permanece en sucursal del cilindro retirado que regresa a Bodega. El sistema debe conservar sus identidades y pesos por separado. Un movimiento físico no permite deducir automáticamente consumo ni emisiones; esas métricas requieren datos y reglas adicionales.</w:t>
      </w:r>
    </w:p>
    <w:p>
      <w:pPr>
        <w:pStyle w:val="Heading1"/>
      </w:pPr>
      <w:r>
        <w:t>3 Objetivo general</w:t>
      </w:r>
    </w:p>
    <w:p>
      <w:r>
        <w:t>Diseñar e implementar un sistema informático que permita gestionar centralmente el inventario, la custodia y la auditoría de cilindros y refrigerantes de AFRISAN, mediante identificación unitaria, órdenes de trabajo, pesajes, evidencias fotográficas y revisión por roles, con persistencia y reportería por completar y validar. [1] [4]</w:t>
      </w:r>
    </w:p>
    <w:p>
      <w:pPr>
        <w:pStyle w:val="Heading1"/>
      </w:pPr>
      <w:r>
        <w:t>4 Objetivos específicos y criterios de evaluación</w:t>
      </w:r>
    </w:p>
    <w:p>
      <w:pPr>
        <w:pStyle w:val="ListBullet"/>
      </w:pPr>
      <w:r>
        <w:t>Mantener un catálogo de refrigerantes y un registro unívoco de cilindros con un solo tipo de refrigerante por envase, tara, capacidad, ubicación e historial. [1] [4] [11]</w:t>
      </w:r>
    </w:p>
    <w:p>
      <w:pPr>
        <w:pStyle w:val="ListBullet"/>
      </w:pPr>
      <w:r>
        <w:t>Consolidar al menos los 10 requisitos funcionales, 7 no funcionales y 10 historias identificados originalmente, con cambios explícitos y criterios verificables para el flujo actual. [1] [2]</w:t>
      </w:r>
    </w:p>
    <w:p>
      <w:pPr>
        <w:pStyle w:val="ListBullet"/>
      </w:pPr>
      <w:r>
        <w:t>Implementar y validar la secuencia Autorizador crea y asigna OT, Técnico registra retiro y cambio, Bodega recibe y aprueba, Autorizador revisa y cierra. [1] [5]</w:t>
      </w:r>
    </w:p>
    <w:p>
      <w:pPr>
        <w:pStyle w:val="ListBullet"/>
      </w:pPr>
      <w:r>
        <w:t>Integrar el modelo PostgreSQL/Supabase y el almacenamiento durable de fotografías con la API, verificando supervivencia de datos al reinicio, integridad y permisos. [1] [5]</w:t>
      </w:r>
    </w:p>
    <w:p>
      <w:pPr>
        <w:pStyle w:val="ListBullet"/>
        <w:keepNext/>
      </w:pPr>
      <w:r>
        <w:t>Definir y validar el control semanal y mensual por sucursal, sin convertir diferencias de peso o excesos en atribuciones automáticas de responsabilidad. [1] [4]</w:t>
      </w:r>
    </w:p>
    <w:p>
      <w:pPr>
        <w:pStyle w:val="ListBullet"/>
      </w:pPr>
      <w:r>
        <w:t>Conectar Power BI con datos consolidados y definiciones aprobadas de indicadores, costos y emisiones, y completar pruebas de usuario y transferencia. [1] [5]</w:t>
      </w:r>
    </w:p>
    <w:p>
      <w:pPr>
        <w:pStyle w:val="Heading1"/>
      </w:pPr>
      <w:r>
        <w:t>5 Metas cuantitativas de la línea original</w:t>
      </w:r>
    </w:p>
    <w:p>
      <w:r>
        <w:t>Se conservan como metas de referencia, sin declararlas alcanzadas ni convertirlas en porcentaje de avance. Los cambios de alcance y fechas deberán acordarse de forma expresa. Los 47 puntos históricos de las historias no representan 47 horas.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4762"/>
            <w:vAlign w:val="center"/>
            <w:tcMar>
              <w:top w:w="85" w:type="dxa"/>
              <w:left w:w="85" w:type="dxa"/>
              <w:bottom w:w="85" w:type="dxa"/>
              <w:right w:w="85" w:type="dxa"/>
            </w:tcMar>
            <w:shd w:fill="24445F"/>
          </w:tcPr>
          <w:p>
            <w:pPr>
              <w:keepNext/>
              <w:spacing w:before="40" w:after="60" w:line="240" w:lineRule="auto"/>
            </w:pPr>
            <w:r>
              <w:rPr>
                <w:b/>
                <w:color w:val="FFFFFF"/>
                <w:sz w:val="22"/>
              </w:rPr>
              <w:t>Meta original</w:t>
            </w:r>
          </w:p>
        </w:tc>
        <w:tc>
          <w:tcPr>
            <w:tcW w:type="dxa" w:w="4762"/>
            <w:vAlign w:val="center"/>
            <w:tcMar>
              <w:top w:w="85" w:type="dxa"/>
              <w:left w:w="85" w:type="dxa"/>
              <w:bottom w:w="85" w:type="dxa"/>
              <w:right w:w="85" w:type="dxa"/>
            </w:tcMar>
            <w:shd w:fill="24445F"/>
          </w:tcPr>
          <w:p>
            <w:pPr>
              <w:keepNext/>
              <w:spacing w:before="40" w:after="60" w:line="240" w:lineRule="auto"/>
            </w:pPr>
            <w:r>
              <w:rPr>
                <w:b/>
                <w:color w:val="FFFFFF"/>
                <w:sz w:val="22"/>
              </w:rPr>
              <w:t>Tratamiento en el nuevo AFRISAN</w:t>
            </w:r>
          </w:p>
        </w:tc>
      </w:tr>
      <w:tr>
        <w:trPr>
          <w:cantSplit/>
        </w:trPr>
        <w:tc>
          <w:tcPr>
            <w:tcW w:type="dxa" w:w="4762"/>
            <w:vAlign w:val="center"/>
            <w:tcMar>
              <w:top w:w="85" w:type="dxa"/>
              <w:left w:w="85" w:type="dxa"/>
              <w:bottom w:w="85" w:type="dxa"/>
              <w:right w:w="85" w:type="dxa"/>
            </w:tcMar>
          </w:tcPr>
          <w:p>
            <w:pPr>
              <w:spacing w:before="40" w:after="60" w:line="240" w:lineRule="auto"/>
            </w:pPr>
            <w:r>
              <w:rPr>
                <w:b w:val="0"/>
                <w:color w:val="000000"/>
                <w:sz w:val="22"/>
              </w:rPr>
              <w:t>Acta y al menos 10 HU priorizadas; al menos 15 requisitos</w:t>
            </w:r>
          </w:p>
        </w:tc>
        <w:tc>
          <w:tcPr>
            <w:tcW w:type="dxa" w:w="4762"/>
            <w:vAlign w:val="center"/>
            <w:tcMar>
              <w:top w:w="85" w:type="dxa"/>
              <w:left w:w="85" w:type="dxa"/>
              <w:bottom w:w="85" w:type="dxa"/>
              <w:right w:w="85" w:type="dxa"/>
            </w:tcMar>
          </w:tcPr>
          <w:p>
            <w:pPr>
              <w:spacing w:before="40" w:after="60" w:line="240" w:lineRule="auto"/>
            </w:pPr>
            <w:r>
              <w:rPr>
                <w:b w:val="0"/>
                <w:color w:val="000000"/>
                <w:sz w:val="22"/>
              </w:rPr>
              <w:t>Se preservan IDs y se actualiza su interpretación; validación del rediseño por contraparte pendiente.</w:t>
            </w:r>
          </w:p>
        </w:tc>
      </w:tr>
      <w:tr>
        <w:trPr>
          <w:cantSplit/>
        </w:trPr>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50 despachos simulados y lectura QR menor a 2 segundos</w:t>
            </w:r>
          </w:p>
        </w:tc>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No acreditado por los tres recorridos actuales; ensayar lectura y rendimiento por separado.</w:t>
            </w:r>
          </w:p>
        </w:tc>
      </w:tr>
      <w:tr>
        <w:trPr>
          <w:cantSplit/>
        </w:trPr>
        <w:tc>
          <w:tcPr>
            <w:tcW w:type="dxa" w:w="4762"/>
            <w:vAlign w:val="center"/>
            <w:tcMar>
              <w:top w:w="85" w:type="dxa"/>
              <w:left w:w="85" w:type="dxa"/>
              <w:bottom w:w="85" w:type="dxa"/>
              <w:right w:w="85" w:type="dxa"/>
            </w:tcMar>
          </w:tcPr>
          <w:p>
            <w:pPr>
              <w:spacing w:before="40" w:after="60" w:line="240" w:lineRule="auto"/>
            </w:pPr>
            <w:r>
              <w:rPr>
                <w:b w:val="0"/>
                <w:color w:val="000000"/>
                <w:sz w:val="22"/>
              </w:rPr>
              <w:t>20 registros sin conexión y cálculo CO2e menor a 3 segundos</w:t>
            </w:r>
          </w:p>
        </w:tc>
        <w:tc>
          <w:tcPr>
            <w:tcW w:type="dxa" w:w="4762"/>
            <w:vAlign w:val="center"/>
            <w:tcMar>
              <w:top w:w="85" w:type="dxa"/>
              <w:left w:w="85" w:type="dxa"/>
              <w:bottom w:w="85" w:type="dxa"/>
              <w:right w:w="85" w:type="dxa"/>
            </w:tcMar>
          </w:tcPr>
          <w:p>
            <w:pPr>
              <w:spacing w:before="40" w:after="60" w:line="240" w:lineRule="auto"/>
            </w:pPr>
            <w:r>
              <w:rPr>
                <w:b w:val="0"/>
                <w:color w:val="000000"/>
                <w:sz w:val="22"/>
              </w:rPr>
              <w:t>No acreditado; IndexedDB no prueba sincronización integral ni motor ambiental.</w:t>
            </w:r>
          </w:p>
        </w:tc>
      </w:tr>
      <w:tr>
        <w:trPr>
          <w:cantSplit/>
        </w:trPr>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Satisfacción de al menos 4 de 5 con 3 técnicos</w:t>
            </w:r>
          </w:p>
        </w:tc>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pruebas de aceptación de usuarios y medición de satisfacción pendientes.</w:t>
            </w:r>
          </w:p>
        </w:tc>
      </w:tr>
      <w:tr>
        <w:trPr>
          <w:cantSplit/>
        </w:trPr>
        <w:tc>
          <w:tcPr>
            <w:tcW w:type="dxa" w:w="4762"/>
            <w:vAlign w:val="center"/>
            <w:tcMar>
              <w:top w:w="85" w:type="dxa"/>
              <w:left w:w="85" w:type="dxa"/>
              <w:bottom w:w="85" w:type="dxa"/>
              <w:right w:w="85" w:type="dxa"/>
            </w:tcMar>
          </w:tcPr>
          <w:p>
            <w:pPr>
              <w:spacing w:before="40" w:after="60" w:line="240" w:lineRule="auto"/>
            </w:pPr>
            <w:r>
              <w:rPr>
                <w:b w:val="0"/>
                <w:color w:val="000000"/>
                <w:sz w:val="22"/>
              </w:rPr>
              <w:t>5 indicadores clave de desempeño y conversión de al menos 4 refrigerantes</w:t>
            </w:r>
          </w:p>
        </w:tc>
        <w:tc>
          <w:tcPr>
            <w:tcW w:type="dxa" w:w="4762"/>
            <w:vAlign w:val="center"/>
            <w:tcMar>
              <w:top w:w="85" w:type="dxa"/>
              <w:left w:w="85" w:type="dxa"/>
              <w:bottom w:w="85" w:type="dxa"/>
              <w:right w:w="85" w:type="dxa"/>
            </w:tcMar>
          </w:tcPr>
          <w:p>
            <w:pPr>
              <w:spacing w:before="40" w:after="60" w:line="240" w:lineRule="auto"/>
            </w:pPr>
            <w:r>
              <w:rPr>
                <w:b w:val="0"/>
                <w:color w:val="000000"/>
                <w:sz w:val="22"/>
              </w:rPr>
              <w:t>Power BI pendiente; definir masa realmente emitida y versión del factor GWP.</w:t>
            </w:r>
          </w:p>
        </w:tc>
      </w:tr>
      <w:tr>
        <w:trPr>
          <w:cantSplit/>
        </w:trPr>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Cobertura de pruebas unitarias del servidor de al menos 80% y 15 pruebas de aceptación de usuarios</w:t>
            </w:r>
          </w:p>
        </w:tc>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Comprobaciones de guiones no equivalen a cobertura ni a aceptación de usuarios.</w:t>
            </w:r>
          </w:p>
        </w:tc>
      </w:tr>
      <w:tr>
        <w:trPr>
          <w:cantSplit/>
        </w:trPr>
        <w:tc>
          <w:tcPr>
            <w:tcW w:type="dxa" w:w="4762"/>
            <w:vAlign w:val="center"/>
            <w:tcMar>
              <w:top w:w="85" w:type="dxa"/>
              <w:left w:w="85" w:type="dxa"/>
              <w:bottom w:w="85" w:type="dxa"/>
              <w:right w:w="85" w:type="dxa"/>
            </w:tcMar>
          </w:tcPr>
          <w:p>
            <w:pPr>
              <w:keepNext/>
              <w:spacing w:before="40" w:after="60" w:line="240" w:lineRule="auto"/>
            </w:pPr>
            <w:r>
              <w:rPr>
                <w:b w:val="0"/>
                <w:color w:val="000000"/>
                <w:sz w:val="22"/>
              </w:rPr>
              <w:t>Aprobación de 90% RF y 80% RNF</w:t>
            </w:r>
          </w:p>
        </w:tc>
        <w:tc>
          <w:tcPr>
            <w:tcW w:type="dxa" w:w="4762"/>
            <w:vAlign w:val="center"/>
            <w:tcMar>
              <w:top w:w="85" w:type="dxa"/>
              <w:left w:w="85" w:type="dxa"/>
              <w:bottom w:w="85" w:type="dxa"/>
              <w:right w:w="85" w:type="dxa"/>
            </w:tcMar>
          </w:tcPr>
          <w:p>
            <w:pPr>
              <w:keepNext/>
              <w:spacing w:before="40" w:after="60" w:line="240" w:lineRule="auto"/>
            </w:pPr>
            <w:r>
              <w:rPr>
                <w:b w:val="0"/>
                <w:color w:val="000000"/>
                <w:sz w:val="22"/>
              </w:rPr>
              <w:t>No medida; requiere criterios y aceptación documentados.</w:t>
            </w:r>
          </w:p>
        </w:tc>
      </w:tr>
      <w:tr>
        <w:trPr>
          <w:cantSplit/>
        </w:trPr>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3 manuales con al menos 10 pasos y demostración pública</w:t>
            </w:r>
          </w:p>
        </w:tc>
        <w:tc>
          <w:tcPr>
            <w:tcW w:type="dxa" w:w="4762"/>
            <w:vAlign w:val="center"/>
            <w:tcMar>
              <w:top w:w="85" w:type="dxa"/>
              <w:left w:w="85" w:type="dxa"/>
              <w:bottom w:w="85" w:type="dxa"/>
              <w:right w:w="85" w:type="dxa"/>
            </w:tcMar>
            <w:shd w:fill="F1F5F8"/>
          </w:tcPr>
          <w:p>
            <w:pPr>
              <w:spacing w:before="40" w:after="60" w:line="240" w:lineRule="auto"/>
            </w:pPr>
            <w:r>
              <w:rPr>
                <w:b w:val="0"/>
                <w:color w:val="000000"/>
                <w:sz w:val="22"/>
              </w:rPr>
              <w:t>Transferencia y despliegue pendientes de completar y acordar.</w:t>
            </w:r>
          </w:p>
        </w:tc>
      </w:tr>
    </w:tbl>
    <w:p>
      <w:pPr>
        <w:spacing w:after="0"/>
      </w:pPr>
    </w:p>
    <w:p>
      <w:pPr>
        <w:pStyle w:val="Heading1"/>
      </w:pPr>
      <w:r>
        <w:t>6 Alcance vigente</w:t>
      </w:r>
    </w:p>
    <w:p>
      <w:pPr>
        <w:pStyle w:val="ListBullet"/>
      </w:pPr>
      <w:r>
        <w:t>Inventario unitario, QR, tara, capacidad, pesaje inicial y ubicación de cilindros. [1] [4] [11]</w:t>
      </w:r>
    </w:p>
    <w:p>
      <w:pPr>
        <w:pStyle w:val="ListBullet"/>
      </w:pPr>
      <w:r>
        <w:t>OT por sucursal, refrigerante y cantidades solicitadas y autorizadas, con Técnico asignado. Creación y autorización se realizan juntas en el prototipo. [4] [5]</w:t>
      </w:r>
    </w:p>
    <w:p>
      <w:pPr>
        <w:pStyle w:val="ListBullet"/>
      </w:pPr>
      <w:r>
        <w:t>Retiro del Técnico desde Bodega con peso y foto; reemplazos y agregados; custodia y devoluciones informadas. [4] [5]</w:t>
      </w:r>
    </w:p>
    <w:p>
      <w:pPr>
        <w:pStyle w:val="ListBullet"/>
      </w:pPr>
      <w:r>
        <w:t>Recepción con peso independiente y aprobación de Bodega antes de la revisión final del Autorizador. [4] [5]</w:t>
      </w:r>
    </w:p>
    <w:p>
      <w:pPr>
        <w:pStyle w:val="ListBullet"/>
        <w:keepNext/>
      </w:pPr>
      <w:r>
        <w:t>Incidencias, historiales y futuras rectificaciones controladas; límites semanales y mensuales con prioridad de Jefatura. [4] [5]</w:t>
      </w:r>
    </w:p>
    <w:p>
      <w:pPr>
        <w:pStyle w:val="ListBullet"/>
      </w:pPr>
      <w:r>
        <w:t>Persistencia central, integración externa prevista mediante archivos estructurados o servicio simulado, certificados Regener, costos, emisiones justificadas y Power BI. [1] [4] [7]</w:t>
      </w:r>
    </w:p>
    <w:p>
      <w:pPr>
        <w:pStyle w:val="Heading1"/>
      </w:pPr>
      <w:r>
        <w:t>7 Fuera de alcance y límites</w:t>
      </w:r>
    </w:p>
    <w:p>
      <w:r>
        <w:t>No se modifica el código ni la base interna de Defontana. No se incluye facturación o cobranza, compra ni calibración de balanzas. La operación de prueba no acredita despliegue productivo ni aceptación del cliente. [1] [5]</w:t>
      </w:r>
    </w:p>
    <w:p>
      <w:r>
        <w:t>La reserva previa de códigos específicos, el rechazo y reenvío de una revisión, la reasignación y la rectificación material de pesos aprobados requieren definición adicional antes de implementarse. No se elimina un requisito original de manera silenciosa: cada cambio conserva su identificador y se propone para validación.</w:t>
      </w:r>
    </w:p>
    <w:p>
      <w:pPr>
        <w:pStyle w:val="Heading1"/>
      </w:pPr>
      <w:r>
        <w:t>8 Flujo operativo y reglas de negocio</w:t>
      </w:r>
    </w:p>
    <w:p>
      <w:pPr>
        <w:pStyle w:val="ListBullet"/>
      </w:pPr>
      <w:r>
        <w:t>Un cilindro contiene un solo refrigerante; un refrigerante puede corresponder a muchos cilindros. Capacidad no equivale a contenido. Contenido según pesaje es peso bruto menos tara. [4] [11]</w:t>
      </w:r>
    </w:p>
    <w:p>
      <w:pPr>
        <w:pStyle w:val="ListBullet"/>
      </w:pPr>
      <w:r>
        <w:t>Se utilizan gramos enteros para representar masa; toda conversión a kg debe mostrar la unidad. No se registra contenido desconocido como cero. [11]</w:t>
      </w:r>
    </w:p>
    <w:p>
      <w:pPr>
        <w:pStyle w:val="ListBullet"/>
      </w:pPr>
      <w:r>
        <w:t>El Autorizador crea la OT, distingue solicitud y autorización y asigna al Técnico. El Técnico retira únicamente cilindros elegibles del refrigerante encargado y registra peso y fotografía. [5]</w:t>
      </w:r>
    </w:p>
    <w:p>
      <w:pPr>
        <w:pStyle w:val="ListBullet"/>
      </w:pPr>
      <w:r>
        <w:t>El reemplazo identifica dos envases distintos: retirado e instalado. El agregado no inventa un retirado. El instalado permanece en sucursal; el retirado se informa y luego se recibe físicamente en Bodega. [5]</w:t>
      </w:r>
    </w:p>
    <w:p>
      <w:pPr>
        <w:pStyle w:val="ListBullet"/>
      </w:pPr>
      <w:r>
        <w:t>Estados de OT: Asignada, En proceso de despacho, En terreno, Pendiente de aprobación de Bodega, Pendiente de revisión del Autorizador y Cerrada. [5]</w:t>
      </w:r>
    </w:p>
    <w:p>
      <w:pPr>
        <w:pStyle w:val="ListBullet"/>
      </w:pPr>
      <w:r>
        <w:t>Bodega no aprueba mientras falte término técnico, retirados por recibir o envases retirados de Bodega sin instalar ni devolver. La revisión final del Autorizador ocurre después de esa aprobación. [5]</w:t>
      </w:r>
    </w:p>
    <w:p>
      <w:pPr>
        <w:pStyle w:val="ListBullet"/>
      </w:pPr>
      <w:r>
        <w:t>Se conservan pesos de terreno y recepción, con su diferencia visible. No se aplica la tolerancia histórica menor a 0,2 kg sin revisar y aprobar su pertinencia. [5]</w:t>
      </w:r>
    </w:p>
    <w:p>
      <w:pPr>
        <w:pStyle w:val="ListBullet"/>
        <w:keepNext/>
      </w:pPr>
      <w:r>
        <w:t>Jefatura puede modificar los límites semanales y mensuales y bloquear su edición por Bodega hasta habilitación expresa. Autorizador no puede saltarse esa protección. El cómputo de kilos y calendario de períodos está pendiente. [4]</w:t>
      </w:r>
    </w:p>
    <w:p>
      <w:pPr>
        <w:pStyle w:val="ListBullet"/>
      </w:pPr>
      <w:r>
        <w:t>La jerarquía Bodega, Autorizador y Jefatura no implica herencia automática de permisos. Confirmar una revisión registra una declaración humana; no certifica la autenticidad física de una foto. [4] [5]</w:t>
      </w:r>
    </w:p>
    <w:p>
      <w:r>
        <w:br w:type="page"/>
      </w:r>
    </w:p>
    <w:p>
      <w:pPr>
        <w:pStyle w:val="Heading1"/>
      </w:pPr>
      <w:r>
        <w:t>9 Requisitos funcionales</w:t>
      </w:r>
    </w:p>
    <w:p>
      <w:r>
        <w:t>Los antecedentes y criterios de esta tabla se apoyan en las fuentes [1], [2], [5], [7], [11].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trPr>
        <w:tc>
          <w:tcPr>
            <w:tcW w:type="dxa" w:w="554"/>
            <w:vAlign w:val="center"/>
            <w:tcMar>
              <w:top w:w="85" w:type="dxa"/>
              <w:left w:w="85" w:type="dxa"/>
              <w:bottom w:w="85" w:type="dxa"/>
              <w:right w:w="85" w:type="dxa"/>
            </w:tcMar>
            <w:shd w:fill="24445F"/>
          </w:tcPr>
          <w:p>
            <w:pPr>
              <w:keepNext/>
              <w:spacing w:before="40" w:after="60" w:line="240" w:lineRule="auto"/>
            </w:pPr>
            <w:r>
              <w:rPr>
                <w:b/>
                <w:color w:val="FFFFFF"/>
                <w:sz w:val="22"/>
              </w:rPr>
              <w:t>ID</w:t>
            </w:r>
          </w:p>
        </w:tc>
        <w:tc>
          <w:tcPr>
            <w:tcW w:type="dxa" w:w="2630"/>
            <w:vAlign w:val="center"/>
            <w:tcMar>
              <w:top w:w="85" w:type="dxa"/>
              <w:left w:w="85" w:type="dxa"/>
              <w:bottom w:w="85" w:type="dxa"/>
              <w:right w:w="85" w:type="dxa"/>
            </w:tcMar>
            <w:shd w:fill="24445F"/>
          </w:tcPr>
          <w:p>
            <w:pPr>
              <w:keepNext/>
              <w:spacing w:before="40" w:after="60" w:line="240" w:lineRule="auto"/>
            </w:pPr>
            <w:r>
              <w:rPr>
                <w:b/>
                <w:color w:val="FFFFFF"/>
                <w:sz w:val="22"/>
              </w:rPr>
              <w:t>Nombre</w:t>
            </w:r>
          </w:p>
        </w:tc>
        <w:tc>
          <w:tcPr>
            <w:tcW w:type="dxa" w:w="3170"/>
            <w:vAlign w:val="center"/>
            <w:tcMar>
              <w:top w:w="85" w:type="dxa"/>
              <w:left w:w="85" w:type="dxa"/>
              <w:bottom w:w="85" w:type="dxa"/>
              <w:right w:w="85" w:type="dxa"/>
            </w:tcMar>
            <w:shd w:fill="24445F"/>
          </w:tcPr>
          <w:p>
            <w:pPr>
              <w:keepNext/>
              <w:spacing w:before="40" w:after="60" w:line="240" w:lineRule="auto"/>
            </w:pPr>
            <w:r>
              <w:rPr>
                <w:b/>
                <w:color w:val="FFFFFF"/>
                <w:sz w:val="22"/>
              </w:rPr>
              <w:t>Definición actual</w:t>
            </w:r>
          </w:p>
        </w:tc>
        <w:tc>
          <w:tcPr>
            <w:tcW w:type="dxa" w:w="3170"/>
            <w:vAlign w:val="center"/>
            <w:tcMar>
              <w:top w:w="85" w:type="dxa"/>
              <w:left w:w="85" w:type="dxa"/>
              <w:bottom w:w="85" w:type="dxa"/>
              <w:right w:w="85" w:type="dxa"/>
            </w:tcMar>
            <w:shd w:fill="24445F"/>
          </w:tcPr>
          <w:p>
            <w:pPr>
              <w:keepNext/>
              <w:spacing w:before="40" w:after="60" w:line="240" w:lineRule="auto"/>
            </w:pPr>
            <w:r>
              <w:rPr>
                <w:b/>
                <w:color w:val="FFFFFF"/>
                <w:sz w:val="22"/>
              </w:rPr>
              <w:t>Estado al corte</w:t>
            </w:r>
          </w:p>
        </w:tc>
      </w:tr>
      <w:tr>
        <w:trPr>
          <w:cantSplit/>
        </w:trPr>
        <w:tc>
          <w:tcPr>
            <w:tcW w:type="dxa" w:w="554"/>
            <w:vAlign w:val="center"/>
            <w:tcMar>
              <w:top w:w="85" w:type="dxa"/>
              <w:left w:w="85" w:type="dxa"/>
              <w:bottom w:w="85" w:type="dxa"/>
              <w:right w:w="85" w:type="dxa"/>
            </w:tcMar>
          </w:tcPr>
          <w:p>
            <w:pPr>
              <w:spacing w:before="40" w:after="60" w:line="240" w:lineRule="auto"/>
            </w:pPr>
            <w:r>
              <w:rPr>
                <w:b w:val="0"/>
                <w:color w:val="000000"/>
                <w:sz w:val="22"/>
              </w:rPr>
              <w:t>RF-01</w:t>
            </w:r>
          </w:p>
        </w:tc>
        <w:tc>
          <w:tcPr>
            <w:tcW w:type="dxa" w:w="2630"/>
            <w:vAlign w:val="center"/>
            <w:tcMar>
              <w:top w:w="85" w:type="dxa"/>
              <w:left w:w="85" w:type="dxa"/>
              <w:bottom w:w="85" w:type="dxa"/>
              <w:right w:w="85" w:type="dxa"/>
            </w:tcMar>
          </w:tcPr>
          <w:p>
            <w:pPr>
              <w:spacing w:before="40" w:after="60" w:line="240" w:lineRule="auto"/>
            </w:pPr>
            <w:r>
              <w:rPr>
                <w:b w:val="0"/>
                <w:color w:val="000000"/>
                <w:sz w:val="22"/>
              </w:rPr>
              <w:t>Autenticación y control de roles</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Restringir acciones y datos por rol. Conservar Administrador, Jefatura, Bodega y Técnico e incorporar Autorizador como rol distinto de Jefatura. La jerarquía de negocio no otorga automáticamente todas las acciones de los roles inferiores.</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JWT y cuentas de revisión en el prototipo; provisión y autenticación reales pendientes.</w:t>
            </w:r>
          </w:p>
        </w:tc>
      </w:tr>
      <w:tr>
        <w:trPr>
          <w:cantSplit/>
        </w:trPr>
        <w:tc>
          <w:tcPr>
            <w:tcW w:type="dxa" w:w="554"/>
            <w:vAlign w:val="center"/>
            <w:tcMar>
              <w:top w:w="85" w:type="dxa"/>
              <w:left w:w="85" w:type="dxa"/>
              <w:bottom w:w="85" w:type="dxa"/>
              <w:right w:w="85" w:type="dxa"/>
            </w:tcMar>
            <w:shd w:fill="F1F5F8"/>
          </w:tcPr>
          <w:p>
            <w:pPr>
              <w:spacing w:before="40" w:after="60" w:line="240" w:lineRule="auto"/>
            </w:pPr>
            <w:r>
              <w:rPr>
                <w:b w:val="0"/>
                <w:color w:val="000000"/>
                <w:sz w:val="22"/>
              </w:rPr>
              <w:t>RF-02</w:t>
            </w:r>
          </w:p>
        </w:tc>
        <w:tc>
          <w:tcPr>
            <w:tcW w:type="dxa" w:w="2630"/>
            <w:vAlign w:val="center"/>
            <w:tcMar>
              <w:top w:w="85" w:type="dxa"/>
              <w:left w:w="85" w:type="dxa"/>
              <w:bottom w:w="85" w:type="dxa"/>
              <w:right w:w="85" w:type="dxa"/>
            </w:tcMar>
            <w:shd w:fill="F1F5F8"/>
          </w:tcPr>
          <w:p>
            <w:pPr>
              <w:spacing w:before="40" w:after="60" w:line="240" w:lineRule="auto"/>
            </w:pPr>
            <w:r>
              <w:rPr>
                <w:b w:val="0"/>
                <w:color w:val="000000"/>
                <w:sz w:val="22"/>
              </w:rPr>
              <w:t>Asociación de despacho y referencia Defontana</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Asociar cada cilindro y su retiro a la OT y al técnico asignado. El Técnico selecciona envases del refrigerante encargado y confirma su retiro con peso y fotografía de salida. Conservar por separado las referencias externas de OT y guía cuando se integre Defontana.</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Retiro técnico implementado en memoria; OT manual y sin integración ERP.</w:t>
            </w:r>
          </w:p>
        </w:tc>
      </w:tr>
      <w:tr>
        <w:trPr>
          <w:cantSplit/>
        </w:trPr>
        <w:tc>
          <w:tcPr>
            <w:tcW w:type="dxa" w:w="554"/>
            <w:vAlign w:val="center"/>
            <w:tcMar>
              <w:top w:w="85" w:type="dxa"/>
              <w:left w:w="85" w:type="dxa"/>
              <w:bottom w:w="85" w:type="dxa"/>
              <w:right w:w="85" w:type="dxa"/>
            </w:tcMar>
          </w:tcPr>
          <w:p>
            <w:pPr>
              <w:spacing w:before="40" w:after="60" w:line="240" w:lineRule="auto"/>
            </w:pPr>
            <w:r>
              <w:rPr>
                <w:b w:val="0"/>
                <w:color w:val="000000"/>
                <w:sz w:val="22"/>
              </w:rPr>
              <w:t>RF-03</w:t>
            </w:r>
          </w:p>
        </w:tc>
        <w:tc>
          <w:tcPr>
            <w:tcW w:type="dxa" w:w="2630"/>
            <w:vAlign w:val="center"/>
            <w:tcMar>
              <w:top w:w="85" w:type="dxa"/>
              <w:left w:w="85" w:type="dxa"/>
              <w:bottom w:w="85" w:type="dxa"/>
              <w:right w:w="85" w:type="dxa"/>
            </w:tcMar>
          </w:tcPr>
          <w:p>
            <w:pPr>
              <w:spacing w:before="40" w:after="60" w:line="240" w:lineRule="auto"/>
            </w:pPr>
            <w:r>
              <w:rPr>
                <w:b w:val="0"/>
                <w:color w:val="000000"/>
                <w:sz w:val="22"/>
              </w:rPr>
              <w:t>Pesajes de salida y recepción</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Registrar tara, capacidad y peso bruto con unidad explícita. Conservar separados peso de salida, peso de terreno y peso recibido por Bodega, con usuario y fecha. Una diferencia entre envases distintos no representa consumo.</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Pesajes diferenciados y recepción implementados en memoria; tolerancia de conciliación pendiente.</w:t>
            </w:r>
          </w:p>
        </w:tc>
      </w:tr>
      <w:tr>
        <w:trPr>
          <w:cantSplit/>
        </w:trPr>
        <w:tc>
          <w:tcPr>
            <w:tcW w:type="dxa" w:w="554"/>
            <w:vAlign w:val="center"/>
            <w:tcMar>
              <w:top w:w="85" w:type="dxa"/>
              <w:left w:w="85" w:type="dxa"/>
              <w:bottom w:w="85" w:type="dxa"/>
              <w:right w:w="85" w:type="dxa"/>
            </w:tcMar>
            <w:shd w:fill="F1F5F8"/>
          </w:tcPr>
          <w:p>
            <w:pPr>
              <w:spacing w:before="40" w:after="60" w:line="240" w:lineRule="auto"/>
            </w:pPr>
            <w:r>
              <w:rPr>
                <w:b w:val="0"/>
                <w:color w:val="000000"/>
                <w:sz w:val="22"/>
              </w:rPr>
              <w:t>RF-04</w:t>
            </w:r>
          </w:p>
        </w:tc>
        <w:tc>
          <w:tcPr>
            <w:tcW w:type="dxa" w:w="2630"/>
            <w:vAlign w:val="center"/>
            <w:tcMar>
              <w:top w:w="85" w:type="dxa"/>
              <w:left w:w="85" w:type="dxa"/>
              <w:bottom w:w="85" w:type="dxa"/>
              <w:right w:w="85" w:type="dxa"/>
            </w:tcMar>
            <w:shd w:fill="F1F5F8"/>
          </w:tcPr>
          <w:p>
            <w:pPr>
              <w:spacing w:before="40" w:after="60" w:line="240" w:lineRule="auto"/>
            </w:pPr>
            <w:r>
              <w:rPr>
                <w:b w:val="0"/>
                <w:color w:val="000000"/>
                <w:sz w:val="22"/>
              </w:rPr>
              <w:t>Registro de trabajo en terreno</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Registrar reemplazo físico o agregado. En reemplazo identificar el envase retirado y el instalado, sus pesajes y su relación con la OT. En agregado no exigir un retirado inexistente. El instalado permanece en la sucursal.</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Flujo de revisión implementado; no acredita recarga ni kilos inyectados en equipos.</w:t>
            </w:r>
          </w:p>
        </w:tc>
      </w:tr>
      <w:tr>
        <w:trPr>
          <w:cantSplit/>
        </w:trPr>
        <w:tc>
          <w:tcPr>
            <w:tcW w:type="dxa" w:w="554"/>
            <w:vAlign w:val="center"/>
            <w:tcMar>
              <w:top w:w="85" w:type="dxa"/>
              <w:left w:w="85" w:type="dxa"/>
              <w:bottom w:w="85" w:type="dxa"/>
              <w:right w:w="85" w:type="dxa"/>
            </w:tcMar>
          </w:tcPr>
          <w:p>
            <w:pPr>
              <w:spacing w:before="40" w:after="60" w:line="240" w:lineRule="auto"/>
            </w:pPr>
            <w:r>
              <w:rPr>
                <w:b w:val="0"/>
                <w:color w:val="000000"/>
                <w:sz w:val="22"/>
              </w:rPr>
              <w:t>RF-05</w:t>
            </w:r>
          </w:p>
        </w:tc>
        <w:tc>
          <w:tcPr>
            <w:tcW w:type="dxa" w:w="2630"/>
            <w:vAlign w:val="center"/>
            <w:tcMar>
              <w:top w:w="85" w:type="dxa"/>
              <w:left w:w="85" w:type="dxa"/>
              <w:bottom w:w="85" w:type="dxa"/>
              <w:right w:w="85" w:type="dxa"/>
            </w:tcMar>
          </w:tcPr>
          <w:p>
            <w:pPr>
              <w:spacing w:before="40" w:after="60" w:line="240" w:lineRule="auto"/>
            </w:pPr>
            <w:r>
              <w:rPr>
                <w:b w:val="0"/>
                <w:color w:val="000000"/>
                <w:sz w:val="22"/>
              </w:rPr>
              <w:t>Evidencia fotográfica de pesajes</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Exigir foto de balanza en el retiro desde Bodega y fotografías de los pesajes del retirado y del instalado en el cambio. Permitir varias imágenes identificadas por operación, cilindro y pesaje. Consultarlas mediante acceso autorizado.</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Archivos y puntos de acceso implementados en memoria; cámara física y almacenamiento de archivos durable pendientes.</w:t>
            </w:r>
          </w:p>
        </w:tc>
      </w:tr>
      <w:tr>
        <w:trPr>
          <w:cantSplit/>
        </w:trPr>
        <w:tc>
          <w:tcPr>
            <w:tcW w:type="dxa" w:w="554"/>
            <w:vAlign w:val="center"/>
            <w:tcMar>
              <w:top w:w="85" w:type="dxa"/>
              <w:left w:w="85" w:type="dxa"/>
              <w:bottom w:w="85" w:type="dxa"/>
              <w:right w:w="85" w:type="dxa"/>
            </w:tcMar>
            <w:shd w:fill="F1F5F8"/>
          </w:tcPr>
          <w:p>
            <w:pPr>
              <w:spacing w:before="40" w:after="60" w:line="240" w:lineRule="auto"/>
            </w:pPr>
            <w:r>
              <w:rPr>
                <w:b w:val="0"/>
                <w:color w:val="000000"/>
                <w:sz w:val="22"/>
              </w:rPr>
              <w:t>RF-06</w:t>
            </w:r>
          </w:p>
        </w:tc>
        <w:tc>
          <w:tcPr>
            <w:tcW w:type="dxa" w:w="2630"/>
            <w:vAlign w:val="center"/>
            <w:tcMar>
              <w:top w:w="85" w:type="dxa"/>
              <w:left w:w="85" w:type="dxa"/>
              <w:bottom w:w="85" w:type="dxa"/>
              <w:right w:w="85" w:type="dxa"/>
            </w:tcMar>
            <w:shd w:fill="F1F5F8"/>
          </w:tcPr>
          <w:p>
            <w:pPr>
              <w:spacing w:before="40" w:after="60" w:line="240" w:lineRule="auto"/>
            </w:pPr>
            <w:r>
              <w:rPr>
                <w:b w:val="0"/>
                <w:color w:val="000000"/>
                <w:sz w:val="22"/>
              </w:rPr>
              <w:t>Operación local y sincronización</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Conservar borradores y fotos pendientes en IndexedDB para el trabajo de terreno y controlar reintentos. La confirmación del retiro requiere conexión para validar disponibilidad y custodia.</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Mecanismo local existente; operación sin red, sincronización integral y recuperación entre dispositivos pendientes de validación.</w:t>
            </w:r>
          </w:p>
        </w:tc>
      </w:tr>
      <w:tr>
        <w:trPr>
          <w:cantSplit/>
        </w:trPr>
        <w:tc>
          <w:tcPr>
            <w:tcW w:type="dxa" w:w="554"/>
            <w:vAlign w:val="center"/>
            <w:tcMar>
              <w:top w:w="85" w:type="dxa"/>
              <w:left w:w="85" w:type="dxa"/>
              <w:bottom w:w="85" w:type="dxa"/>
              <w:right w:w="85" w:type="dxa"/>
            </w:tcMar>
          </w:tcPr>
          <w:p>
            <w:pPr>
              <w:spacing w:before="40" w:after="60" w:line="240" w:lineRule="auto"/>
            </w:pPr>
            <w:r>
              <w:rPr>
                <w:b w:val="0"/>
                <w:color w:val="000000"/>
                <w:sz w:val="22"/>
              </w:rPr>
              <w:t>RF-07</w:t>
            </w:r>
          </w:p>
        </w:tc>
        <w:tc>
          <w:tcPr>
            <w:tcW w:type="dxa" w:w="2630"/>
            <w:vAlign w:val="center"/>
            <w:tcMar>
              <w:top w:w="85" w:type="dxa"/>
              <w:left w:w="85" w:type="dxa"/>
              <w:bottom w:w="85" w:type="dxa"/>
              <w:right w:w="85" w:type="dxa"/>
            </w:tcMar>
          </w:tcPr>
          <w:p>
            <w:pPr>
              <w:spacing w:before="40" w:after="60" w:line="240" w:lineRule="auto"/>
            </w:pPr>
            <w:r>
              <w:rPr>
                <w:b w:val="0"/>
                <w:color w:val="000000"/>
                <w:sz w:val="22"/>
              </w:rPr>
              <w:t>Logística inversa y custodia</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Registrar devolución informada por Técnico y recepción física por Bodega como hechos distintos. Exigir recepción de los retirados y resolución de los envases entregados sin instalar o devolver antes de aprobar la OT.</w:t>
            </w:r>
          </w:p>
        </w:tc>
        <w:tc>
          <w:tcPr>
            <w:tcW w:type="dxa" w:w="3170"/>
            <w:vAlign w:val="center"/>
            <w:tcMar>
              <w:top w:w="85" w:type="dxa"/>
              <w:left w:w="85" w:type="dxa"/>
              <w:bottom w:w="85" w:type="dxa"/>
              <w:right w:w="85" w:type="dxa"/>
            </w:tcMar>
          </w:tcPr>
          <w:p>
            <w:pPr>
              <w:spacing w:before="40" w:after="60" w:line="240" w:lineRule="auto"/>
            </w:pPr>
            <w:r>
              <w:rPr>
                <w:b w:val="0"/>
                <w:color w:val="000000"/>
                <w:sz w:val="22"/>
              </w:rPr>
              <w:t>Flujo actualizado y bloqueos comprobados con datos sintéticos; persistencia pendiente.</w:t>
            </w:r>
          </w:p>
        </w:tc>
      </w:tr>
      <w:tr>
        <w:trPr>
          <w:cantSplit/>
        </w:trPr>
        <w:tc>
          <w:tcPr>
            <w:tcW w:type="dxa" w:w="554"/>
            <w:vAlign w:val="center"/>
            <w:tcMar>
              <w:top w:w="85" w:type="dxa"/>
              <w:left w:w="85" w:type="dxa"/>
              <w:bottom w:w="85" w:type="dxa"/>
              <w:right w:w="85" w:type="dxa"/>
            </w:tcMar>
            <w:shd w:fill="F1F5F8"/>
          </w:tcPr>
          <w:p>
            <w:pPr>
              <w:spacing w:before="40" w:after="60" w:line="240" w:lineRule="auto"/>
            </w:pPr>
            <w:r>
              <w:rPr>
                <w:b w:val="0"/>
                <w:color w:val="000000"/>
                <w:sz w:val="22"/>
              </w:rPr>
              <w:t>RF-08</w:t>
            </w:r>
          </w:p>
        </w:tc>
        <w:tc>
          <w:tcPr>
            <w:tcW w:type="dxa" w:w="2630"/>
            <w:vAlign w:val="center"/>
            <w:tcMar>
              <w:top w:w="85" w:type="dxa"/>
              <w:left w:w="85" w:type="dxa"/>
              <w:bottom w:w="85" w:type="dxa"/>
              <w:right w:w="85" w:type="dxa"/>
            </w:tcMar>
            <w:shd w:fill="F1F5F8"/>
          </w:tcPr>
          <w:p>
            <w:pPr>
              <w:spacing w:before="40" w:after="60" w:line="240" w:lineRule="auto"/>
            </w:pPr>
            <w:r>
              <w:rPr>
                <w:b w:val="0"/>
                <w:color w:val="000000"/>
                <w:sz w:val="22"/>
              </w:rPr>
              <w:t>Certificados de disposición Regener</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Relacionar los cilindros dados de baja y lotes de disposición con el folio y respaldo de certificado de Regener. Conservar historial sin confundir un retorno de servicio con una baja.</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Contemplado en modelo SQL; módulo funcional y validación de negocio pendientes.</w:t>
            </w:r>
          </w:p>
        </w:tc>
      </w:tr>
      <w:tr>
        <w:trPr>
          <w:cantSplit/>
        </w:trPr>
        <w:tc>
          <w:tcPr>
            <w:tcW w:type="dxa" w:w="554"/>
            <w:vAlign w:val="center"/>
            <w:tcMar>
              <w:top w:w="85" w:type="dxa"/>
              <w:left w:w="85" w:type="dxa"/>
              <w:bottom w:w="85" w:type="dxa"/>
              <w:right w:w="85" w:type="dxa"/>
            </w:tcMar>
          </w:tcPr>
          <w:p>
            <w:pPr>
              <w:keepNext/>
              <w:spacing w:before="40" w:after="60" w:line="240" w:lineRule="auto"/>
            </w:pPr>
            <w:r>
              <w:rPr>
                <w:b w:val="0"/>
                <w:color w:val="000000"/>
                <w:sz w:val="22"/>
              </w:rPr>
              <w:t>RF-09</w:t>
            </w:r>
          </w:p>
        </w:tc>
        <w:tc>
          <w:tcPr>
            <w:tcW w:type="dxa" w:w="2630"/>
            <w:vAlign w:val="center"/>
            <w:tcMar>
              <w:top w:w="85" w:type="dxa"/>
              <w:left w:w="85" w:type="dxa"/>
              <w:bottom w:w="85" w:type="dxa"/>
              <w:right w:w="85" w:type="dxa"/>
            </w:tcMar>
          </w:tcPr>
          <w:p>
            <w:pPr>
              <w:keepNext/>
              <w:spacing w:before="40" w:after="60" w:line="240" w:lineRule="auto"/>
            </w:pPr>
            <w:r>
              <w:rPr>
                <w:b w:val="0"/>
                <w:color w:val="000000"/>
                <w:sz w:val="22"/>
              </w:rPr>
              <w:t>Emisiones y alertas de control</w:t>
            </w:r>
          </w:p>
        </w:tc>
        <w:tc>
          <w:tcPr>
            <w:tcW w:type="dxa" w:w="3170"/>
            <w:vAlign w:val="center"/>
            <w:tcMar>
              <w:top w:w="85" w:type="dxa"/>
              <w:left w:w="85" w:type="dxa"/>
              <w:bottom w:w="85" w:type="dxa"/>
              <w:right w:w="85" w:type="dxa"/>
            </w:tcMar>
          </w:tcPr>
          <w:p>
            <w:pPr>
              <w:keepNext/>
              <w:spacing w:before="40" w:after="60" w:line="240" w:lineRule="auto"/>
            </w:pPr>
            <w:r>
              <w:rPr>
                <w:b w:val="0"/>
                <w:color w:val="000000"/>
                <w:sz w:val="22"/>
              </w:rPr>
              <w:t>Separar movimientos físicos de emisiones. Una instalación o traslado no equivale a gas emitido. Mantener límites semanales y mensuales por sucursal, historial de versiones y prioridad de Jefatura. Registrar excesos para investigación humana.</w:t>
            </w:r>
          </w:p>
        </w:tc>
        <w:tc>
          <w:tcPr>
            <w:tcW w:type="dxa" w:w="3170"/>
            <w:vAlign w:val="center"/>
            <w:tcMar>
              <w:top w:w="85" w:type="dxa"/>
              <w:left w:w="85" w:type="dxa"/>
              <w:bottom w:w="85" w:type="dxa"/>
              <w:right w:w="85" w:type="dxa"/>
            </w:tcMar>
          </w:tcPr>
          <w:p>
            <w:pPr>
              <w:keepNext/>
              <w:spacing w:before="40" w:after="60" w:line="240" w:lineRule="auto"/>
            </w:pPr>
            <w:r>
              <w:rPr>
                <w:b w:val="0"/>
                <w:color w:val="000000"/>
                <w:sz w:val="22"/>
              </w:rPr>
              <w:t>Modelo SQL local con reglas parciales comprobadas; definición del cómputo, API de límites y motor ambiental pendientes.</w:t>
            </w:r>
          </w:p>
        </w:tc>
      </w:tr>
      <w:tr>
        <w:trPr>
          <w:cantSplit/>
        </w:trPr>
        <w:tc>
          <w:tcPr>
            <w:tcW w:type="dxa" w:w="554"/>
            <w:vAlign w:val="center"/>
            <w:tcMar>
              <w:top w:w="85" w:type="dxa"/>
              <w:left w:w="85" w:type="dxa"/>
              <w:bottom w:w="85" w:type="dxa"/>
              <w:right w:w="85" w:type="dxa"/>
            </w:tcMar>
            <w:shd w:fill="F1F5F8"/>
          </w:tcPr>
          <w:p>
            <w:pPr>
              <w:spacing w:before="40" w:after="60" w:line="240" w:lineRule="auto"/>
            </w:pPr>
            <w:r>
              <w:rPr>
                <w:b w:val="0"/>
                <w:color w:val="000000"/>
                <w:sz w:val="22"/>
              </w:rPr>
              <w:t>RF-10</w:t>
            </w:r>
          </w:p>
        </w:tc>
        <w:tc>
          <w:tcPr>
            <w:tcW w:type="dxa" w:w="2630"/>
            <w:vAlign w:val="center"/>
            <w:tcMar>
              <w:top w:w="85" w:type="dxa"/>
              <w:left w:w="85" w:type="dxa"/>
              <w:bottom w:w="85" w:type="dxa"/>
              <w:right w:w="85" w:type="dxa"/>
            </w:tcMar>
            <w:shd w:fill="F1F5F8"/>
          </w:tcPr>
          <w:p>
            <w:pPr>
              <w:spacing w:before="40" w:after="60" w:line="240" w:lineRule="auto"/>
            </w:pPr>
            <w:r>
              <w:rPr>
                <w:b w:val="0"/>
                <w:color w:val="000000"/>
                <w:sz w:val="22"/>
              </w:rPr>
              <w:t>Tablero analítico Power BI</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Proveer información consolidada para trazabilidad, retornos, costos, límites y emisiones justificadas. Conservar Power BI en el alcance y definir población, período y unidad de cada indicadores clave de desempeño antes de publicarlo.</w:t>
            </w:r>
          </w:p>
        </w:tc>
        <w:tc>
          <w:tcPr>
            <w:tcW w:type="dxa" w:w="3170"/>
            <w:vAlign w:val="center"/>
            <w:tcMar>
              <w:top w:w="85" w:type="dxa"/>
              <w:left w:w="85" w:type="dxa"/>
              <w:bottom w:w="85" w:type="dxa"/>
              <w:right w:w="85" w:type="dxa"/>
            </w:tcMar>
            <w:shd w:fill="F1F5F8"/>
          </w:tcPr>
          <w:p>
            <w:pPr>
              <w:spacing w:before="40" w:after="60" w:line="240" w:lineRule="auto"/>
            </w:pPr>
            <w:r>
              <w:rPr>
                <w:b w:val="0"/>
                <w:color w:val="000000"/>
                <w:sz w:val="22"/>
              </w:rPr>
              <w:t>Integración Power BI y datos centrales persistentes pendientes.</w:t>
            </w:r>
          </w:p>
        </w:tc>
      </w:tr>
    </w:tbl>
    <w:p>
      <w:pPr>
        <w:spacing w:after="0"/>
      </w:pPr>
    </w:p>
    <w:p>
      <w:pPr>
        <w:pStyle w:val="Heading1"/>
      </w:pPr>
      <w:r>
        <w:t>10 Requisitos no funcionales</w:t>
      </w:r>
    </w:p>
    <w:p>
      <w:r>
        <w:t>Los antecedentes y criterios de esta tabla se apoyan en las fuentes [1], [6].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trPr>
        <w:tc>
          <w:tcPr>
            <w:tcW w:type="dxa" w:w="592"/>
            <w:vAlign w:val="center"/>
            <w:tcMar>
              <w:top w:w="85" w:type="dxa"/>
              <w:left w:w="85" w:type="dxa"/>
              <w:bottom w:w="85" w:type="dxa"/>
              <w:right w:w="85" w:type="dxa"/>
            </w:tcMar>
            <w:shd w:fill="24445F"/>
          </w:tcPr>
          <w:p>
            <w:pPr>
              <w:keepNext/>
              <w:spacing w:before="40" w:after="60" w:line="240" w:lineRule="auto"/>
            </w:pPr>
            <w:r>
              <w:rPr>
                <w:b/>
                <w:color w:val="FFFFFF"/>
                <w:sz w:val="22"/>
              </w:rPr>
              <w:t>ID</w:t>
            </w:r>
          </w:p>
        </w:tc>
        <w:tc>
          <w:tcPr>
            <w:tcW w:type="dxa" w:w="2159"/>
            <w:vAlign w:val="center"/>
            <w:tcMar>
              <w:top w:w="85" w:type="dxa"/>
              <w:left w:w="85" w:type="dxa"/>
              <w:bottom w:w="85" w:type="dxa"/>
              <w:right w:w="85" w:type="dxa"/>
            </w:tcMar>
            <w:shd w:fill="24445F"/>
          </w:tcPr>
          <w:p>
            <w:pPr>
              <w:keepNext/>
              <w:spacing w:before="40" w:after="60" w:line="240" w:lineRule="auto"/>
            </w:pPr>
            <w:r>
              <w:rPr>
                <w:b/>
                <w:color w:val="FFFFFF"/>
                <w:sz w:val="22"/>
              </w:rPr>
              <w:t>Nombre</w:t>
            </w:r>
          </w:p>
        </w:tc>
        <w:tc>
          <w:tcPr>
            <w:tcW w:type="dxa" w:w="3387"/>
            <w:vAlign w:val="center"/>
            <w:tcMar>
              <w:top w:w="85" w:type="dxa"/>
              <w:left w:w="85" w:type="dxa"/>
              <w:bottom w:w="85" w:type="dxa"/>
              <w:right w:w="85" w:type="dxa"/>
            </w:tcMar>
            <w:shd w:fill="24445F"/>
          </w:tcPr>
          <w:p>
            <w:pPr>
              <w:keepNext/>
              <w:spacing w:before="40" w:after="60" w:line="240" w:lineRule="auto"/>
            </w:pPr>
            <w:r>
              <w:rPr>
                <w:b/>
                <w:color w:val="FFFFFF"/>
                <w:sz w:val="22"/>
              </w:rPr>
              <w:t>Criterio</w:t>
            </w:r>
          </w:p>
        </w:tc>
        <w:tc>
          <w:tcPr>
            <w:tcW w:type="dxa" w:w="3387"/>
            <w:vAlign w:val="center"/>
            <w:tcMar>
              <w:top w:w="85" w:type="dxa"/>
              <w:left w:w="85" w:type="dxa"/>
              <w:bottom w:w="85" w:type="dxa"/>
              <w:right w:w="85" w:type="dxa"/>
            </w:tcMar>
            <w:shd w:fill="24445F"/>
          </w:tcPr>
          <w:p>
            <w:pPr>
              <w:keepNext/>
              <w:spacing w:before="40" w:after="60" w:line="240" w:lineRule="auto"/>
            </w:pPr>
            <w:r>
              <w:rPr>
                <w:b/>
                <w:color w:val="FFFFFF"/>
                <w:sz w:val="22"/>
              </w:rPr>
              <w:t>Límite comprobado</w:t>
            </w:r>
          </w:p>
        </w:tc>
      </w:tr>
      <w:tr>
        <w:trPr>
          <w:cantSplit/>
        </w:trPr>
        <w:tc>
          <w:tcPr>
            <w:tcW w:type="dxa" w:w="592"/>
            <w:vAlign w:val="center"/>
            <w:tcMar>
              <w:top w:w="85" w:type="dxa"/>
              <w:left w:w="85" w:type="dxa"/>
              <w:bottom w:w="85" w:type="dxa"/>
              <w:right w:w="85" w:type="dxa"/>
            </w:tcMar>
          </w:tcPr>
          <w:p>
            <w:pPr>
              <w:spacing w:before="40" w:after="60" w:line="240" w:lineRule="auto"/>
            </w:pPr>
            <w:r>
              <w:rPr>
                <w:b w:val="0"/>
                <w:color w:val="000000"/>
                <w:sz w:val="22"/>
              </w:rPr>
              <w:t>RNF-01</w:t>
            </w:r>
          </w:p>
        </w:tc>
        <w:tc>
          <w:tcPr>
            <w:tcW w:type="dxa" w:w="2159"/>
            <w:vAlign w:val="center"/>
            <w:tcMar>
              <w:top w:w="85" w:type="dxa"/>
              <w:left w:w="85" w:type="dxa"/>
              <w:bottom w:w="85" w:type="dxa"/>
              <w:right w:w="85" w:type="dxa"/>
            </w:tcMar>
          </w:tcPr>
          <w:p>
            <w:pPr>
              <w:spacing w:before="40" w:after="60" w:line="240" w:lineRule="auto"/>
            </w:pPr>
            <w:r>
              <w:rPr>
                <w:b w:val="0"/>
                <w:color w:val="000000"/>
                <w:sz w:val="22"/>
              </w:rPr>
              <w:t>Seguridad OWASP</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Usar consultas parametrizadas al integrar persistencia y validar entradas y archivos. Evaluar SQLi, XSS y autorización con pruebas documentadas.</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No se acredita auditoría de vulnerabilidades ni ausencia de vulnerabilidades críticas.</w:t>
            </w:r>
          </w:p>
        </w:tc>
      </w:tr>
      <w:tr>
        <w:trPr>
          <w:cantSplit/>
        </w:trPr>
        <w:tc>
          <w:tcPr>
            <w:tcW w:type="dxa" w:w="592"/>
            <w:vAlign w:val="center"/>
            <w:tcMar>
              <w:top w:w="85" w:type="dxa"/>
              <w:left w:w="85" w:type="dxa"/>
              <w:bottom w:w="85" w:type="dxa"/>
              <w:right w:w="85" w:type="dxa"/>
            </w:tcMar>
            <w:shd w:fill="F1F5F8"/>
          </w:tcPr>
          <w:p>
            <w:pPr>
              <w:spacing w:before="40" w:after="60" w:line="240" w:lineRule="auto"/>
            </w:pPr>
            <w:r>
              <w:rPr>
                <w:b w:val="0"/>
                <w:color w:val="000000"/>
                <w:sz w:val="22"/>
              </w:rPr>
              <w:t>RNF-02</w:t>
            </w:r>
          </w:p>
        </w:tc>
        <w:tc>
          <w:tcPr>
            <w:tcW w:type="dxa" w:w="2159"/>
            <w:vAlign w:val="center"/>
            <w:tcMar>
              <w:top w:w="85" w:type="dxa"/>
              <w:left w:w="85" w:type="dxa"/>
              <w:bottom w:w="85" w:type="dxa"/>
              <w:right w:w="85" w:type="dxa"/>
            </w:tcMar>
            <w:shd w:fill="F1F5F8"/>
          </w:tcPr>
          <w:p>
            <w:pPr>
              <w:spacing w:before="40" w:after="60" w:line="240" w:lineRule="auto"/>
            </w:pPr>
            <w:r>
              <w:rPr>
                <w:b w:val="0"/>
                <w:color w:val="000000"/>
                <w:sz w:val="22"/>
              </w:rPr>
              <w:t>Rendimiento óptico</w:t>
            </w:r>
          </w:p>
        </w:tc>
        <w:tc>
          <w:tcPr>
            <w:tcW w:type="dxa" w:w="3387"/>
            <w:vAlign w:val="center"/>
            <w:tcMar>
              <w:top w:w="85" w:type="dxa"/>
              <w:left w:w="85" w:type="dxa"/>
              <w:bottom w:w="85" w:type="dxa"/>
              <w:right w:w="85" w:type="dxa"/>
            </w:tcMar>
            <w:shd w:fill="F1F5F8"/>
          </w:tcPr>
          <w:p>
            <w:pPr>
              <w:spacing w:before="40" w:after="60" w:line="240" w:lineRule="auto"/>
            </w:pPr>
            <w:r>
              <w:rPr>
                <w:b w:val="0"/>
                <w:color w:val="000000"/>
                <w:sz w:val="22"/>
              </w:rPr>
              <w:t>Meta histórica de lectura QR inferior a 2 segundos por cilindro, con dispositivo y condiciones definidos.</w:t>
            </w:r>
          </w:p>
        </w:tc>
        <w:tc>
          <w:tcPr>
            <w:tcW w:type="dxa" w:w="3387"/>
            <w:vAlign w:val="center"/>
            <w:tcMar>
              <w:top w:w="85" w:type="dxa"/>
              <w:left w:w="85" w:type="dxa"/>
              <w:bottom w:w="85" w:type="dxa"/>
              <w:right w:w="85" w:type="dxa"/>
            </w:tcMar>
            <w:shd w:fill="F1F5F8"/>
          </w:tcPr>
          <w:p>
            <w:pPr>
              <w:spacing w:before="40" w:after="60" w:line="240" w:lineRule="auto"/>
            </w:pPr>
            <w:r>
              <w:rPr>
                <w:b w:val="0"/>
                <w:color w:val="000000"/>
                <w:sz w:val="22"/>
              </w:rPr>
              <w:t>Generar o descargar QR no acredita lectura óptica ni la meta temporal.</w:t>
            </w:r>
          </w:p>
        </w:tc>
      </w:tr>
      <w:tr>
        <w:trPr>
          <w:cantSplit/>
        </w:trPr>
        <w:tc>
          <w:tcPr>
            <w:tcW w:type="dxa" w:w="592"/>
            <w:vAlign w:val="center"/>
            <w:tcMar>
              <w:top w:w="85" w:type="dxa"/>
              <w:left w:w="85" w:type="dxa"/>
              <w:bottom w:w="85" w:type="dxa"/>
              <w:right w:w="85" w:type="dxa"/>
            </w:tcMar>
          </w:tcPr>
          <w:p>
            <w:pPr>
              <w:spacing w:before="40" w:after="60" w:line="240" w:lineRule="auto"/>
            </w:pPr>
            <w:r>
              <w:rPr>
                <w:b w:val="0"/>
                <w:color w:val="000000"/>
                <w:sz w:val="22"/>
              </w:rPr>
              <w:t>RNF-03</w:t>
            </w:r>
          </w:p>
        </w:tc>
        <w:tc>
          <w:tcPr>
            <w:tcW w:type="dxa" w:w="2159"/>
            <w:vAlign w:val="center"/>
            <w:tcMar>
              <w:top w:w="85" w:type="dxa"/>
              <w:left w:w="85" w:type="dxa"/>
              <w:bottom w:w="85" w:type="dxa"/>
              <w:right w:w="85" w:type="dxa"/>
            </w:tcMar>
          </w:tcPr>
          <w:p>
            <w:pPr>
              <w:spacing w:before="40" w:after="60" w:line="240" w:lineRule="auto"/>
            </w:pPr>
            <w:r>
              <w:rPr>
                <w:b w:val="0"/>
                <w:color w:val="000000"/>
                <w:sz w:val="22"/>
              </w:rPr>
              <w:t>Compatibilidad multiplataforma</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Mantener interfaz Blazor WebAssembly para escritorio y uso móvil; validar Android e iOS, cámara, carga de archivos y navegación por rol.</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Las capturas de navegador no certifican la matriz completa de dispositivos.</w:t>
            </w:r>
          </w:p>
        </w:tc>
      </w:tr>
      <w:tr>
        <w:trPr>
          <w:cantSplit/>
        </w:trPr>
        <w:tc>
          <w:tcPr>
            <w:tcW w:type="dxa" w:w="592"/>
            <w:vAlign w:val="center"/>
            <w:tcMar>
              <w:top w:w="85" w:type="dxa"/>
              <w:left w:w="85" w:type="dxa"/>
              <w:bottom w:w="85" w:type="dxa"/>
              <w:right w:w="85" w:type="dxa"/>
            </w:tcMar>
            <w:shd w:fill="F1F5F8"/>
          </w:tcPr>
          <w:p>
            <w:pPr>
              <w:spacing w:before="40" w:after="60" w:line="240" w:lineRule="auto"/>
            </w:pPr>
            <w:r>
              <w:rPr>
                <w:b w:val="0"/>
                <w:color w:val="000000"/>
                <w:sz w:val="22"/>
              </w:rPr>
              <w:t>RNF-04</w:t>
            </w:r>
          </w:p>
        </w:tc>
        <w:tc>
          <w:tcPr>
            <w:tcW w:type="dxa" w:w="2159"/>
            <w:vAlign w:val="center"/>
            <w:tcMar>
              <w:top w:w="85" w:type="dxa"/>
              <w:left w:w="85" w:type="dxa"/>
              <w:bottom w:w="85" w:type="dxa"/>
              <w:right w:w="85" w:type="dxa"/>
            </w:tcMar>
            <w:shd w:fill="F1F5F8"/>
          </w:tcPr>
          <w:p>
            <w:pPr>
              <w:spacing w:before="40" w:after="60" w:line="240" w:lineRule="auto"/>
            </w:pPr>
            <w:r>
              <w:rPr>
                <w:b w:val="0"/>
                <w:color w:val="000000"/>
                <w:sz w:val="22"/>
              </w:rPr>
              <w:t>Integridad y auditoría</w:t>
            </w:r>
          </w:p>
        </w:tc>
        <w:tc>
          <w:tcPr>
            <w:tcW w:type="dxa" w:w="3387"/>
            <w:vAlign w:val="center"/>
            <w:tcMar>
              <w:top w:w="85" w:type="dxa"/>
              <w:left w:w="85" w:type="dxa"/>
              <w:bottom w:w="85" w:type="dxa"/>
              <w:right w:w="85" w:type="dxa"/>
            </w:tcMar>
            <w:shd w:fill="F1F5F8"/>
          </w:tcPr>
          <w:p>
            <w:pPr>
              <w:spacing w:before="40" w:after="60" w:line="240" w:lineRule="auto"/>
            </w:pPr>
            <w:r>
              <w:rPr>
                <w:b w:val="0"/>
                <w:color w:val="000000"/>
                <w:sz w:val="22"/>
              </w:rPr>
              <w:t>Conservar actor, fecha, motivo e historial; aplicar control de versiones y reintentos idempotentes. No sobrescribir libremente pesos, fotos o revisiones confirmadas.</w:t>
            </w:r>
          </w:p>
        </w:tc>
        <w:tc>
          <w:tcPr>
            <w:tcW w:type="dxa" w:w="3387"/>
            <w:vAlign w:val="center"/>
            <w:tcMar>
              <w:top w:w="85" w:type="dxa"/>
              <w:left w:w="85" w:type="dxa"/>
              <w:bottom w:w="85" w:type="dxa"/>
              <w:right w:w="85" w:type="dxa"/>
            </w:tcMar>
            <w:shd w:fill="F1F5F8"/>
          </w:tcPr>
          <w:p>
            <w:pPr>
              <w:spacing w:before="40" w:after="60" w:line="240" w:lineRule="auto"/>
            </w:pPr>
            <w:r>
              <w:rPr>
                <w:b w:val="0"/>
                <w:color w:val="000000"/>
                <w:sz w:val="22"/>
              </w:rPr>
              <w:t>Historial y bloqueos en memoria; rectificación material posterior a aprobación por definir.</w:t>
            </w:r>
          </w:p>
        </w:tc>
      </w:tr>
      <w:tr>
        <w:trPr>
          <w:cantSplit/>
        </w:trPr>
        <w:tc>
          <w:tcPr>
            <w:tcW w:type="dxa" w:w="592"/>
            <w:vAlign w:val="center"/>
            <w:tcMar>
              <w:top w:w="85" w:type="dxa"/>
              <w:left w:w="85" w:type="dxa"/>
              <w:bottom w:w="85" w:type="dxa"/>
              <w:right w:w="85" w:type="dxa"/>
            </w:tcMar>
          </w:tcPr>
          <w:p>
            <w:pPr>
              <w:spacing w:before="40" w:after="60" w:line="240" w:lineRule="auto"/>
            </w:pPr>
            <w:r>
              <w:rPr>
                <w:b w:val="0"/>
                <w:color w:val="000000"/>
                <w:sz w:val="22"/>
              </w:rPr>
              <w:t>RNF-05</w:t>
            </w:r>
          </w:p>
        </w:tc>
        <w:tc>
          <w:tcPr>
            <w:tcW w:type="dxa" w:w="2159"/>
            <w:vAlign w:val="center"/>
            <w:tcMar>
              <w:top w:w="85" w:type="dxa"/>
              <w:left w:w="85" w:type="dxa"/>
              <w:bottom w:w="85" w:type="dxa"/>
              <w:right w:w="85" w:type="dxa"/>
            </w:tcMar>
          </w:tcPr>
          <w:p>
            <w:pPr>
              <w:spacing w:before="40" w:after="60" w:line="240" w:lineRule="auto"/>
            </w:pPr>
            <w:r>
              <w:rPr>
                <w:b w:val="0"/>
                <w:color w:val="000000"/>
                <w:sz w:val="22"/>
              </w:rPr>
              <w:t>Disponibilidad de datos</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Meta histórica de disponibilidad en la nube de al menos 99,5% para sincronización. Definir medición, respaldo y recuperación antes de compromiso operativo.</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El prototipo en memoria no cumple persistencia ni acredita disponibilidad en la nube.</w:t>
            </w:r>
          </w:p>
        </w:tc>
      </w:tr>
      <w:tr>
        <w:trPr>
          <w:cantSplit/>
        </w:trPr>
        <w:tc>
          <w:tcPr>
            <w:tcW w:type="dxa" w:w="592"/>
            <w:vAlign w:val="center"/>
            <w:tcMar>
              <w:top w:w="85" w:type="dxa"/>
              <w:left w:w="85" w:type="dxa"/>
              <w:bottom w:w="85" w:type="dxa"/>
              <w:right w:w="85" w:type="dxa"/>
            </w:tcMar>
            <w:shd w:fill="F1F5F8"/>
          </w:tcPr>
          <w:p>
            <w:pPr>
              <w:keepNext/>
              <w:spacing w:before="40" w:after="60" w:line="240" w:lineRule="auto"/>
            </w:pPr>
            <w:r>
              <w:rPr>
                <w:b w:val="0"/>
                <w:color w:val="000000"/>
                <w:sz w:val="22"/>
              </w:rPr>
              <w:t>RNF-06</w:t>
            </w:r>
          </w:p>
        </w:tc>
        <w:tc>
          <w:tcPr>
            <w:tcW w:type="dxa" w:w="2159"/>
            <w:vAlign w:val="center"/>
            <w:tcMar>
              <w:top w:w="85" w:type="dxa"/>
              <w:left w:w="85" w:type="dxa"/>
              <w:bottom w:w="85" w:type="dxa"/>
              <w:right w:w="85" w:type="dxa"/>
            </w:tcMar>
            <w:shd w:fill="F1F5F8"/>
          </w:tcPr>
          <w:p>
            <w:pPr>
              <w:keepNext/>
              <w:spacing w:before="40" w:after="60" w:line="240" w:lineRule="auto"/>
            </w:pPr>
            <w:r>
              <w:rPr>
                <w:b w:val="0"/>
                <w:color w:val="000000"/>
                <w:sz w:val="22"/>
              </w:rPr>
              <w:t>Mínimo privilegio</w:t>
            </w:r>
          </w:p>
        </w:tc>
        <w:tc>
          <w:tcPr>
            <w:tcW w:type="dxa" w:w="3387"/>
            <w:vAlign w:val="center"/>
            <w:tcMar>
              <w:top w:w="85" w:type="dxa"/>
              <w:left w:w="85" w:type="dxa"/>
              <w:bottom w:w="85" w:type="dxa"/>
              <w:right w:w="85" w:type="dxa"/>
            </w:tcMar>
            <w:shd w:fill="F1F5F8"/>
          </w:tcPr>
          <w:p>
            <w:pPr>
              <w:keepNext/>
              <w:spacing w:before="40" w:after="60" w:line="240" w:lineRule="auto"/>
            </w:pPr>
            <w:r>
              <w:rPr>
                <w:b w:val="0"/>
                <w:color w:val="000000"/>
                <w:sz w:val="22"/>
              </w:rPr>
              <w:t>Aplicar control en API además de la interfaz; el Técnico accede a sus OT y a los cilindros elegibles para su encargo. Restringir consulta de fotografías y funciones administrativas.</w:t>
            </w:r>
          </w:p>
        </w:tc>
        <w:tc>
          <w:tcPr>
            <w:tcW w:type="dxa" w:w="3387"/>
            <w:vAlign w:val="center"/>
            <w:tcMar>
              <w:top w:w="85" w:type="dxa"/>
              <w:left w:w="85" w:type="dxa"/>
              <w:bottom w:w="85" w:type="dxa"/>
              <w:right w:w="85" w:type="dxa"/>
            </w:tcMar>
            <w:shd w:fill="F1F5F8"/>
          </w:tcPr>
          <w:p>
            <w:pPr>
              <w:keepNext/>
              <w:spacing w:before="40" w:after="60" w:line="240" w:lineRule="auto"/>
            </w:pPr>
            <w:r>
              <w:rPr>
                <w:b w:val="0"/>
                <w:color w:val="000000"/>
                <w:sz w:val="22"/>
              </w:rPr>
              <w:t>Se comprobó control en recorridos sintéticos; cuentas reales y aislamiento entre varios técnicos pendientes.</w:t>
            </w:r>
          </w:p>
        </w:tc>
      </w:tr>
      <w:tr>
        <w:trPr>
          <w:cantSplit/>
        </w:trPr>
        <w:tc>
          <w:tcPr>
            <w:tcW w:type="dxa" w:w="592"/>
            <w:vAlign w:val="center"/>
            <w:tcMar>
              <w:top w:w="85" w:type="dxa"/>
              <w:left w:w="85" w:type="dxa"/>
              <w:bottom w:w="85" w:type="dxa"/>
              <w:right w:w="85" w:type="dxa"/>
            </w:tcMar>
          </w:tcPr>
          <w:p>
            <w:pPr>
              <w:spacing w:before="40" w:after="60" w:line="240" w:lineRule="auto"/>
            </w:pPr>
            <w:r>
              <w:rPr>
                <w:b w:val="0"/>
                <w:color w:val="000000"/>
                <w:sz w:val="22"/>
              </w:rPr>
              <w:t>RNF-07</w:t>
            </w:r>
          </w:p>
        </w:tc>
        <w:tc>
          <w:tcPr>
            <w:tcW w:type="dxa" w:w="2159"/>
            <w:vAlign w:val="center"/>
            <w:tcMar>
              <w:top w:w="85" w:type="dxa"/>
              <w:left w:w="85" w:type="dxa"/>
              <w:bottom w:w="85" w:type="dxa"/>
              <w:right w:w="85" w:type="dxa"/>
            </w:tcMar>
          </w:tcPr>
          <w:p>
            <w:pPr>
              <w:spacing w:before="40" w:after="60" w:line="240" w:lineRule="auto"/>
            </w:pPr>
            <w:r>
              <w:rPr>
                <w:b w:val="0"/>
                <w:color w:val="000000"/>
                <w:sz w:val="22"/>
              </w:rPr>
              <w:t>Cifrado y credenciales</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Usar HTTPS/TLS en despliegue y mecanismos seguros de identidad y almacenamiento de credenciales. Mantener secretos fuera de documentos y repositorio.</w:t>
            </w:r>
          </w:p>
        </w:tc>
        <w:tc>
          <w:tcPr>
            <w:tcW w:type="dxa" w:w="3387"/>
            <w:vAlign w:val="center"/>
            <w:tcMar>
              <w:top w:w="85" w:type="dxa"/>
              <w:left w:w="85" w:type="dxa"/>
              <w:bottom w:w="85" w:type="dxa"/>
              <w:right w:w="85" w:type="dxa"/>
            </w:tcMar>
          </w:tcPr>
          <w:p>
            <w:pPr>
              <w:spacing w:before="40" w:after="60" w:line="240" w:lineRule="auto"/>
            </w:pPr>
            <w:r>
              <w:rPr>
                <w:b w:val="0"/>
                <w:color w:val="000000"/>
                <w:sz w:val="22"/>
              </w:rPr>
              <w:t>Puertos locales y cuentas públicas de revisión no acreditan seguridad del despliegue productivo.</w:t>
            </w:r>
          </w:p>
        </w:tc>
      </w:tr>
    </w:tbl>
    <w:p>
      <w:pPr>
        <w:spacing w:after="0"/>
      </w:pPr>
    </w:p>
    <w:p>
      <w:pPr>
        <w:pStyle w:val="Heading1"/>
      </w:pPr>
      <w:r>
        <w:t>11 Historias de usuario y trazabilidad</w:t>
      </w:r>
    </w:p>
    <w:p>
      <w:r>
        <w:t>Se preservan HU-01 a HU-10 para mantener la relación con las listas de trabajo originales. Las reformulaciones responden al negocio aclarado y no constituyen aceptación automática de la contraparte. El detalle operativo y sus criterios se mantienen en la lista priorizada de requisitos actualizada. [2]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trPr>
        <w:tc>
          <w:tcPr>
            <w:tcW w:type="dxa" w:w="573"/>
            <w:vAlign w:val="center"/>
            <w:tcMar>
              <w:top w:w="85" w:type="dxa"/>
              <w:left w:w="85" w:type="dxa"/>
              <w:bottom w:w="85" w:type="dxa"/>
              <w:right w:w="85" w:type="dxa"/>
            </w:tcMar>
            <w:shd w:fill="24445F"/>
          </w:tcPr>
          <w:p>
            <w:pPr>
              <w:keepNext/>
              <w:spacing w:before="40" w:after="60" w:line="240" w:lineRule="auto"/>
            </w:pPr>
            <w:r>
              <w:rPr>
                <w:b/>
                <w:color w:val="FFFFFF"/>
                <w:sz w:val="22"/>
              </w:rPr>
              <w:t>ID</w:t>
            </w:r>
          </w:p>
        </w:tc>
        <w:tc>
          <w:tcPr>
            <w:tcW w:type="dxa" w:w="2395"/>
            <w:vAlign w:val="center"/>
            <w:tcMar>
              <w:top w:w="85" w:type="dxa"/>
              <w:left w:w="85" w:type="dxa"/>
              <w:bottom w:w="85" w:type="dxa"/>
              <w:right w:w="85" w:type="dxa"/>
            </w:tcMar>
            <w:shd w:fill="24445F"/>
          </w:tcPr>
          <w:p>
            <w:pPr>
              <w:keepNext/>
              <w:spacing w:before="40" w:after="60" w:line="240" w:lineRule="auto"/>
            </w:pPr>
            <w:r>
              <w:rPr>
                <w:b/>
                <w:color w:val="FFFFFF"/>
                <w:sz w:val="22"/>
              </w:rPr>
              <w:t>Historia</w:t>
            </w:r>
          </w:p>
        </w:tc>
        <w:tc>
          <w:tcPr>
            <w:tcW w:type="dxa" w:w="3279"/>
            <w:vAlign w:val="center"/>
            <w:tcMar>
              <w:top w:w="85" w:type="dxa"/>
              <w:left w:w="85" w:type="dxa"/>
              <w:bottom w:w="85" w:type="dxa"/>
              <w:right w:w="85" w:type="dxa"/>
            </w:tcMar>
            <w:shd w:fill="24445F"/>
          </w:tcPr>
          <w:p>
            <w:pPr>
              <w:keepNext/>
              <w:spacing w:before="40" w:after="60" w:line="240" w:lineRule="auto"/>
            </w:pPr>
            <w:r>
              <w:rPr>
                <w:b/>
                <w:color w:val="FFFFFF"/>
                <w:sz w:val="22"/>
              </w:rPr>
              <w:t>Necesidad actual</w:t>
            </w:r>
          </w:p>
        </w:tc>
        <w:tc>
          <w:tcPr>
            <w:tcW w:type="dxa" w:w="3279"/>
            <w:vAlign w:val="center"/>
            <w:tcMar>
              <w:top w:w="85" w:type="dxa"/>
              <w:left w:w="85" w:type="dxa"/>
              <w:bottom w:w="85" w:type="dxa"/>
              <w:right w:w="85" w:type="dxa"/>
            </w:tcMar>
            <w:shd w:fill="24445F"/>
          </w:tcPr>
          <w:p>
            <w:pPr>
              <w:keepNext/>
              <w:spacing w:before="40" w:after="60" w:line="240" w:lineRule="auto"/>
            </w:pPr>
            <w:r>
              <w:rPr>
                <w:b/>
                <w:color w:val="FFFFFF"/>
                <w:sz w:val="22"/>
              </w:rPr>
              <w:t>Cambio</w:t>
            </w:r>
          </w:p>
        </w:tc>
      </w:tr>
      <w:tr>
        <w:trPr>
          <w:cantSplit/>
        </w:trPr>
        <w:tc>
          <w:tcPr>
            <w:tcW w:type="dxa" w:w="573"/>
            <w:vAlign w:val="center"/>
            <w:tcMar>
              <w:top w:w="85" w:type="dxa"/>
              <w:left w:w="85" w:type="dxa"/>
              <w:bottom w:w="85" w:type="dxa"/>
              <w:right w:w="85" w:type="dxa"/>
            </w:tcMar>
          </w:tcPr>
          <w:p>
            <w:pPr>
              <w:spacing w:before="40" w:after="60" w:line="240" w:lineRule="auto"/>
            </w:pPr>
            <w:r>
              <w:rPr>
                <w:b w:val="0"/>
                <w:color w:val="000000"/>
                <w:sz w:val="22"/>
              </w:rPr>
              <w:t>HU-01</w:t>
            </w:r>
          </w:p>
        </w:tc>
        <w:tc>
          <w:tcPr>
            <w:tcW w:type="dxa" w:w="2395"/>
            <w:vAlign w:val="center"/>
            <w:tcMar>
              <w:top w:w="85" w:type="dxa"/>
              <w:left w:w="85" w:type="dxa"/>
              <w:bottom w:w="85" w:type="dxa"/>
              <w:right w:w="85" w:type="dxa"/>
            </w:tcMar>
          </w:tcPr>
          <w:p>
            <w:pPr>
              <w:spacing w:before="40" w:after="60" w:line="240" w:lineRule="auto"/>
            </w:pPr>
            <w:r>
              <w:rPr>
                <w:b w:val="0"/>
                <w:color w:val="000000"/>
                <w:sz w:val="22"/>
              </w:rPr>
              <w:t>Asociación de QR y despacho</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Como Técnico asignado, necesito identificar y retirar los cilindros del refrigerante encargado para iniciar su custodia vinculada a mi OT.</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Reformulada: el registro del retiro pasa de Bodega al Técnico. QR óptico y ERP pendientes.</w:t>
            </w:r>
          </w:p>
        </w:tc>
      </w:tr>
      <w:tr>
        <w:trPr>
          <w:cantSplit/>
        </w:trPr>
        <w:tc>
          <w:tcPr>
            <w:tcW w:type="dxa" w:w="573"/>
            <w:vAlign w:val="center"/>
            <w:tcMar>
              <w:top w:w="85" w:type="dxa"/>
              <w:left w:w="85" w:type="dxa"/>
              <w:bottom w:w="85" w:type="dxa"/>
              <w:right w:w="85" w:type="dxa"/>
            </w:tcMar>
            <w:shd w:fill="F1F5F8"/>
          </w:tcPr>
          <w:p>
            <w:pPr>
              <w:spacing w:before="40" w:after="60" w:line="240" w:lineRule="auto"/>
            </w:pPr>
            <w:r>
              <w:rPr>
                <w:b w:val="0"/>
                <w:color w:val="000000"/>
                <w:sz w:val="22"/>
              </w:rPr>
              <w:t>HU-02</w:t>
            </w:r>
          </w:p>
        </w:tc>
        <w:tc>
          <w:tcPr>
            <w:tcW w:type="dxa" w:w="2395"/>
            <w:vAlign w:val="center"/>
            <w:tcMar>
              <w:top w:w="85" w:type="dxa"/>
              <w:left w:w="85" w:type="dxa"/>
              <w:bottom w:w="85" w:type="dxa"/>
              <w:right w:w="85" w:type="dxa"/>
            </w:tcMar>
            <w:shd w:fill="F1F5F8"/>
          </w:tcPr>
          <w:p>
            <w:pPr>
              <w:spacing w:before="40" w:after="60" w:line="240" w:lineRule="auto"/>
            </w:pPr>
            <w:r>
              <w:rPr>
                <w:b w:val="0"/>
                <w:color w:val="000000"/>
                <w:sz w:val="22"/>
              </w:rPr>
              <w:t>Pesaje de salida en Bodega</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Como Técnico, necesito registrar el peso bruto y la foto de salida al retirar un cilindro, para respaldar el estado en que lo recibo.</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Reformulada: distinguir pesaje inicial del inventario y pesaje de retiro.</w:t>
            </w:r>
          </w:p>
        </w:tc>
      </w:tr>
      <w:tr>
        <w:trPr>
          <w:cantSplit/>
        </w:trPr>
        <w:tc>
          <w:tcPr>
            <w:tcW w:type="dxa" w:w="573"/>
            <w:vAlign w:val="center"/>
            <w:tcMar>
              <w:top w:w="85" w:type="dxa"/>
              <w:left w:w="85" w:type="dxa"/>
              <w:bottom w:w="85" w:type="dxa"/>
              <w:right w:w="85" w:type="dxa"/>
            </w:tcMar>
          </w:tcPr>
          <w:p>
            <w:pPr>
              <w:spacing w:before="40" w:after="60" w:line="240" w:lineRule="auto"/>
            </w:pPr>
            <w:r>
              <w:rPr>
                <w:b w:val="0"/>
                <w:color w:val="000000"/>
                <w:sz w:val="22"/>
              </w:rPr>
              <w:t>HU-03</w:t>
            </w:r>
          </w:p>
        </w:tc>
        <w:tc>
          <w:tcPr>
            <w:tcW w:type="dxa" w:w="2395"/>
            <w:vAlign w:val="center"/>
            <w:tcMar>
              <w:top w:w="85" w:type="dxa"/>
              <w:left w:w="85" w:type="dxa"/>
              <w:bottom w:w="85" w:type="dxa"/>
              <w:right w:w="85" w:type="dxa"/>
            </w:tcMar>
          </w:tcPr>
          <w:p>
            <w:pPr>
              <w:spacing w:before="40" w:after="60" w:line="240" w:lineRule="auto"/>
            </w:pPr>
            <w:r>
              <w:rPr>
                <w:b w:val="0"/>
                <w:color w:val="000000"/>
                <w:sz w:val="22"/>
              </w:rPr>
              <w:t>Autenticación y control de acceso</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Como usuario autorizado, necesito acceder mediante credenciales y funciones restringidas por rol para resguardar la información.</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Se conserva; autenticación operativa real pendiente.</w:t>
            </w:r>
          </w:p>
        </w:tc>
      </w:tr>
      <w:tr>
        <w:trPr>
          <w:cantSplit/>
        </w:trPr>
        <w:tc>
          <w:tcPr>
            <w:tcW w:type="dxa" w:w="573"/>
            <w:vAlign w:val="center"/>
            <w:tcMar>
              <w:top w:w="85" w:type="dxa"/>
              <w:left w:w="85" w:type="dxa"/>
              <w:bottom w:w="85" w:type="dxa"/>
              <w:right w:w="85" w:type="dxa"/>
            </w:tcMar>
            <w:shd w:fill="F1F5F8"/>
          </w:tcPr>
          <w:p>
            <w:pPr>
              <w:spacing w:before="40" w:after="60" w:line="240" w:lineRule="auto"/>
            </w:pPr>
            <w:r>
              <w:rPr>
                <w:b w:val="0"/>
                <w:color w:val="000000"/>
                <w:sz w:val="22"/>
              </w:rPr>
              <w:t>HU-04</w:t>
            </w:r>
          </w:p>
        </w:tc>
        <w:tc>
          <w:tcPr>
            <w:tcW w:type="dxa" w:w="2395"/>
            <w:vAlign w:val="center"/>
            <w:tcMar>
              <w:top w:w="85" w:type="dxa"/>
              <w:left w:w="85" w:type="dxa"/>
              <w:bottom w:w="85" w:type="dxa"/>
              <w:right w:w="85" w:type="dxa"/>
            </w:tcMar>
            <w:shd w:fill="F1F5F8"/>
          </w:tcPr>
          <w:p>
            <w:pPr>
              <w:spacing w:before="40" w:after="60" w:line="240" w:lineRule="auto"/>
            </w:pPr>
            <w:r>
              <w:rPr>
                <w:b w:val="0"/>
                <w:color w:val="000000"/>
                <w:sz w:val="22"/>
              </w:rPr>
              <w:t>Persistencia y modo sin conexión</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Como Técnico, necesito conservar localmente borradores y fotos de terreno y sincronizarlos sin duplicados al recuperar conexión.</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Actualizada a Blazor e IndexedDB; no se acredita funcionamiento sin red completo.</w:t>
            </w:r>
          </w:p>
        </w:tc>
      </w:tr>
      <w:tr>
        <w:trPr>
          <w:cantSplit/>
        </w:trPr>
        <w:tc>
          <w:tcPr>
            <w:tcW w:type="dxa" w:w="573"/>
            <w:vAlign w:val="center"/>
            <w:tcMar>
              <w:top w:w="85" w:type="dxa"/>
              <w:left w:w="85" w:type="dxa"/>
              <w:bottom w:w="85" w:type="dxa"/>
              <w:right w:w="85" w:type="dxa"/>
            </w:tcMar>
          </w:tcPr>
          <w:p>
            <w:pPr>
              <w:spacing w:before="40" w:after="60" w:line="240" w:lineRule="auto"/>
            </w:pPr>
            <w:r>
              <w:rPr>
                <w:b w:val="0"/>
                <w:color w:val="000000"/>
                <w:sz w:val="22"/>
              </w:rPr>
              <w:t>HU-05</w:t>
            </w:r>
          </w:p>
        </w:tc>
        <w:tc>
          <w:tcPr>
            <w:tcW w:type="dxa" w:w="2395"/>
            <w:vAlign w:val="center"/>
            <w:tcMar>
              <w:top w:w="85" w:type="dxa"/>
              <w:left w:w="85" w:type="dxa"/>
              <w:bottom w:w="85" w:type="dxa"/>
              <w:right w:w="85" w:type="dxa"/>
            </w:tcMar>
          </w:tcPr>
          <w:p>
            <w:pPr>
              <w:spacing w:before="40" w:after="60" w:line="240" w:lineRule="auto"/>
            </w:pPr>
            <w:r>
              <w:rPr>
                <w:b w:val="0"/>
                <w:color w:val="000000"/>
                <w:sz w:val="22"/>
              </w:rPr>
              <w:t>Registro de trabajo en terreno</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Como Técnico, necesito registrar los cilindros retirados e instalados y sus pesajes en un reemplazo o agregado, para documentar el trabajo físico.</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Reformulada: reemplazo físico, sin inferir inyección de gas en un equipo.</w:t>
            </w:r>
          </w:p>
        </w:tc>
      </w:tr>
      <w:tr>
        <w:trPr>
          <w:cantSplit/>
        </w:trPr>
        <w:tc>
          <w:tcPr>
            <w:tcW w:type="dxa" w:w="573"/>
            <w:vAlign w:val="center"/>
            <w:tcMar>
              <w:top w:w="85" w:type="dxa"/>
              <w:left w:w="85" w:type="dxa"/>
              <w:bottom w:w="85" w:type="dxa"/>
              <w:right w:w="85" w:type="dxa"/>
            </w:tcMar>
            <w:shd w:fill="F1F5F8"/>
          </w:tcPr>
          <w:p>
            <w:pPr>
              <w:spacing w:before="40" w:after="60" w:line="240" w:lineRule="auto"/>
            </w:pPr>
            <w:r>
              <w:rPr>
                <w:b w:val="0"/>
                <w:color w:val="000000"/>
                <w:sz w:val="22"/>
              </w:rPr>
              <w:t>HU-06</w:t>
            </w:r>
          </w:p>
        </w:tc>
        <w:tc>
          <w:tcPr>
            <w:tcW w:type="dxa" w:w="2395"/>
            <w:vAlign w:val="center"/>
            <w:tcMar>
              <w:top w:w="85" w:type="dxa"/>
              <w:left w:w="85" w:type="dxa"/>
              <w:bottom w:w="85" w:type="dxa"/>
              <w:right w:w="85" w:type="dxa"/>
            </w:tcMar>
            <w:shd w:fill="F1F5F8"/>
          </w:tcPr>
          <w:p>
            <w:pPr>
              <w:spacing w:before="40" w:after="60" w:line="240" w:lineRule="auto"/>
            </w:pPr>
            <w:r>
              <w:rPr>
                <w:b w:val="0"/>
                <w:color w:val="000000"/>
                <w:sz w:val="22"/>
              </w:rPr>
              <w:t>Evidencia de balanza</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Como Técnico, necesito asociar varias fotografías al cilindro y pesaje correspondiente, para respaldar salida y trabajo en terreno.</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Ampliada a salida y ambos envases del reemplazo.</w:t>
            </w:r>
          </w:p>
        </w:tc>
      </w:tr>
      <w:tr>
        <w:trPr>
          <w:cantSplit/>
        </w:trPr>
        <w:tc>
          <w:tcPr>
            <w:tcW w:type="dxa" w:w="573"/>
            <w:vAlign w:val="center"/>
            <w:tcMar>
              <w:top w:w="85" w:type="dxa"/>
              <w:left w:w="85" w:type="dxa"/>
              <w:bottom w:w="85" w:type="dxa"/>
              <w:right w:w="85" w:type="dxa"/>
            </w:tcMar>
          </w:tcPr>
          <w:p>
            <w:pPr>
              <w:spacing w:before="40" w:after="60" w:line="240" w:lineRule="auto"/>
            </w:pPr>
            <w:r>
              <w:rPr>
                <w:b w:val="0"/>
                <w:color w:val="000000"/>
                <w:sz w:val="22"/>
              </w:rPr>
              <w:t>HU-07</w:t>
            </w:r>
          </w:p>
        </w:tc>
        <w:tc>
          <w:tcPr>
            <w:tcW w:type="dxa" w:w="2395"/>
            <w:vAlign w:val="center"/>
            <w:tcMar>
              <w:top w:w="85" w:type="dxa"/>
              <w:left w:w="85" w:type="dxa"/>
              <w:bottom w:w="85" w:type="dxa"/>
              <w:right w:w="85" w:type="dxa"/>
            </w:tcMar>
          </w:tcPr>
          <w:p>
            <w:pPr>
              <w:spacing w:before="40" w:after="60" w:line="240" w:lineRule="auto"/>
            </w:pPr>
            <w:r>
              <w:rPr>
                <w:b w:val="0"/>
                <w:color w:val="000000"/>
                <w:sz w:val="22"/>
              </w:rPr>
              <w:t>Alertas y control por sucursal</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Como Jefatura o usuario autorizado, necesito revisar excesos frente a límites semanales y mensuales para investigar las operaciones y autorizaciones relacionadas.</w:t>
            </w:r>
          </w:p>
        </w:tc>
        <w:tc>
          <w:tcPr>
            <w:tcW w:type="dxa" w:w="3279"/>
            <w:vAlign w:val="center"/>
            <w:tcMar>
              <w:top w:w="85" w:type="dxa"/>
              <w:left w:w="85" w:type="dxa"/>
              <w:bottom w:w="85" w:type="dxa"/>
              <w:right w:w="85" w:type="dxa"/>
            </w:tcMar>
          </w:tcPr>
          <w:p>
            <w:pPr>
              <w:spacing w:before="40" w:after="60" w:line="240" w:lineRule="auto"/>
            </w:pPr>
            <w:r>
              <w:rPr>
                <w:b w:val="0"/>
                <w:color w:val="000000"/>
                <w:sz w:val="22"/>
              </w:rPr>
              <w:t>Revisión propuesta del semáforo histórico por equipo; fórmula y aprobación del cambio pendientes.</w:t>
            </w:r>
          </w:p>
        </w:tc>
      </w:tr>
      <w:tr>
        <w:trPr>
          <w:cantSplit/>
        </w:trPr>
        <w:tc>
          <w:tcPr>
            <w:tcW w:type="dxa" w:w="573"/>
            <w:vAlign w:val="center"/>
            <w:tcMar>
              <w:top w:w="85" w:type="dxa"/>
              <w:left w:w="85" w:type="dxa"/>
              <w:bottom w:w="85" w:type="dxa"/>
              <w:right w:w="85" w:type="dxa"/>
            </w:tcMar>
            <w:shd w:fill="F1F5F8"/>
          </w:tcPr>
          <w:p>
            <w:pPr>
              <w:spacing w:before="40" w:after="60" w:line="240" w:lineRule="auto"/>
            </w:pPr>
            <w:r>
              <w:rPr>
                <w:b w:val="0"/>
                <w:color w:val="000000"/>
                <w:sz w:val="22"/>
              </w:rPr>
              <w:t>HU-08</w:t>
            </w:r>
          </w:p>
        </w:tc>
        <w:tc>
          <w:tcPr>
            <w:tcW w:type="dxa" w:w="2395"/>
            <w:vAlign w:val="center"/>
            <w:tcMar>
              <w:top w:w="85" w:type="dxa"/>
              <w:left w:w="85" w:type="dxa"/>
              <w:bottom w:w="85" w:type="dxa"/>
              <w:right w:w="85" w:type="dxa"/>
            </w:tcMar>
            <w:shd w:fill="F1F5F8"/>
          </w:tcPr>
          <w:p>
            <w:pPr>
              <w:spacing w:before="40" w:after="60" w:line="240" w:lineRule="auto"/>
            </w:pPr>
            <w:r>
              <w:rPr>
                <w:b w:val="0"/>
                <w:color w:val="000000"/>
                <w:sz w:val="22"/>
              </w:rPr>
              <w:t>Recepción y conciliación de retorno</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Como Bodega, necesito confirmar la recepción y su peso y aprobar el término técnico antes de la revisión final del Autorizador.</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Reformulada: retornan retirados y reservas no utilizadas; el instalado permanece en sucursal.</w:t>
            </w:r>
          </w:p>
        </w:tc>
      </w:tr>
      <w:tr>
        <w:trPr>
          <w:cantSplit/>
        </w:trPr>
        <w:tc>
          <w:tcPr>
            <w:tcW w:type="dxa" w:w="573"/>
            <w:vAlign w:val="center"/>
            <w:tcMar>
              <w:top w:w="85" w:type="dxa"/>
              <w:left w:w="85" w:type="dxa"/>
              <w:bottom w:w="85" w:type="dxa"/>
              <w:right w:w="85" w:type="dxa"/>
            </w:tcMar>
          </w:tcPr>
          <w:p>
            <w:pPr>
              <w:keepNext/>
              <w:spacing w:before="40" w:after="60" w:line="240" w:lineRule="auto"/>
            </w:pPr>
            <w:r>
              <w:rPr>
                <w:b w:val="0"/>
                <w:color w:val="000000"/>
                <w:sz w:val="22"/>
              </w:rPr>
              <w:t>HU-09</w:t>
            </w:r>
          </w:p>
        </w:tc>
        <w:tc>
          <w:tcPr>
            <w:tcW w:type="dxa" w:w="2395"/>
            <w:vAlign w:val="center"/>
            <w:tcMar>
              <w:top w:w="85" w:type="dxa"/>
              <w:left w:w="85" w:type="dxa"/>
              <w:bottom w:w="85" w:type="dxa"/>
              <w:right w:w="85" w:type="dxa"/>
            </w:tcMar>
          </w:tcPr>
          <w:p>
            <w:pPr>
              <w:keepNext/>
              <w:spacing w:before="40" w:after="60" w:line="240" w:lineRule="auto"/>
            </w:pPr>
            <w:r>
              <w:rPr>
                <w:b w:val="0"/>
                <w:color w:val="000000"/>
                <w:sz w:val="22"/>
              </w:rPr>
              <w:t>Trazabilidad de reciclaje Regener</w:t>
            </w:r>
          </w:p>
        </w:tc>
        <w:tc>
          <w:tcPr>
            <w:tcW w:type="dxa" w:w="3279"/>
            <w:vAlign w:val="center"/>
            <w:tcMar>
              <w:top w:w="85" w:type="dxa"/>
              <w:left w:w="85" w:type="dxa"/>
              <w:bottom w:w="85" w:type="dxa"/>
              <w:right w:w="85" w:type="dxa"/>
            </w:tcMar>
          </w:tcPr>
          <w:p>
            <w:pPr>
              <w:keepNext/>
              <w:spacing w:before="40" w:after="60" w:line="240" w:lineRule="auto"/>
            </w:pPr>
            <w:r>
              <w:rPr>
                <w:b w:val="0"/>
                <w:color w:val="000000"/>
                <w:sz w:val="22"/>
              </w:rPr>
              <w:t>Como responsable autorizado, necesito vincular las bajas y lotes al certificado Regener para conservar trazabilidad de disposición.</w:t>
            </w:r>
          </w:p>
        </w:tc>
        <w:tc>
          <w:tcPr>
            <w:tcW w:type="dxa" w:w="3279"/>
            <w:vAlign w:val="center"/>
            <w:tcMar>
              <w:top w:w="85" w:type="dxa"/>
              <w:left w:w="85" w:type="dxa"/>
              <w:bottom w:w="85" w:type="dxa"/>
              <w:right w:w="85" w:type="dxa"/>
            </w:tcMar>
          </w:tcPr>
          <w:p>
            <w:pPr>
              <w:keepNext/>
              <w:spacing w:before="40" w:after="60" w:line="240" w:lineRule="auto"/>
            </w:pPr>
            <w:r>
              <w:rPr>
                <w:b w:val="0"/>
                <w:color w:val="000000"/>
                <w:sz w:val="22"/>
              </w:rPr>
              <w:t>Se conserva; responsable operativo definitivo y módulo pendientes.</w:t>
            </w:r>
          </w:p>
        </w:tc>
      </w:tr>
      <w:tr>
        <w:trPr>
          <w:cantSplit/>
        </w:trPr>
        <w:tc>
          <w:tcPr>
            <w:tcW w:type="dxa" w:w="573"/>
            <w:vAlign w:val="center"/>
            <w:tcMar>
              <w:top w:w="85" w:type="dxa"/>
              <w:left w:w="85" w:type="dxa"/>
              <w:bottom w:w="85" w:type="dxa"/>
              <w:right w:w="85" w:type="dxa"/>
            </w:tcMar>
            <w:shd w:fill="F1F5F8"/>
          </w:tcPr>
          <w:p>
            <w:pPr>
              <w:spacing w:before="40" w:after="60" w:line="240" w:lineRule="auto"/>
            </w:pPr>
            <w:r>
              <w:rPr>
                <w:b w:val="0"/>
                <w:color w:val="000000"/>
                <w:sz w:val="22"/>
              </w:rPr>
              <w:t>HU-10</w:t>
            </w:r>
          </w:p>
        </w:tc>
        <w:tc>
          <w:tcPr>
            <w:tcW w:type="dxa" w:w="2395"/>
            <w:vAlign w:val="center"/>
            <w:tcMar>
              <w:top w:w="85" w:type="dxa"/>
              <w:left w:w="85" w:type="dxa"/>
              <w:bottom w:w="85" w:type="dxa"/>
              <w:right w:w="85" w:type="dxa"/>
            </w:tcMar>
            <w:shd w:fill="F1F5F8"/>
          </w:tcPr>
          <w:p>
            <w:pPr>
              <w:spacing w:before="40" w:after="60" w:line="240" w:lineRule="auto"/>
            </w:pPr>
            <w:r>
              <w:rPr>
                <w:b w:val="0"/>
                <w:color w:val="000000"/>
                <w:sz w:val="22"/>
              </w:rPr>
              <w:t>tablero de indicadores BI y emisiones</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Como Jefatura, necesito consultar Power BI con indicadores sustentados de trazabilidad, costos y emisiones para apoyar las decisiones.</w:t>
            </w:r>
          </w:p>
        </w:tc>
        <w:tc>
          <w:tcPr>
            <w:tcW w:type="dxa" w:w="3279"/>
            <w:vAlign w:val="center"/>
            <w:tcMar>
              <w:top w:w="85" w:type="dxa"/>
              <w:left w:w="85" w:type="dxa"/>
              <w:bottom w:w="85" w:type="dxa"/>
              <w:right w:w="85" w:type="dxa"/>
            </w:tcMar>
            <w:shd w:fill="F1F5F8"/>
          </w:tcPr>
          <w:p>
            <w:pPr>
              <w:spacing w:before="40" w:after="60" w:line="240" w:lineRule="auto"/>
            </w:pPr>
            <w:r>
              <w:rPr>
                <w:b w:val="0"/>
                <w:color w:val="000000"/>
                <w:sz w:val="22"/>
              </w:rPr>
              <w:t>Se conserva Power BI; no se reemplaza por otro tablero sin acuerdo.</w:t>
            </w:r>
          </w:p>
        </w:tc>
      </w:tr>
    </w:tbl>
    <w:p>
      <w:pPr>
        <w:spacing w:after="0"/>
      </w:pPr>
    </w:p>
    <w:p>
      <w:r>
        <w:br w:type="page"/>
      </w:r>
    </w:p>
    <w:p>
      <w:pPr>
        <w:pStyle w:val="Heading1"/>
      </w:pPr>
      <w:r>
        <w:t>12 Arquitectura y recursos</w:t>
      </w:r>
    </w:p>
    <w:p>
      <w:r>
        <w:t>Se mantiene .NET 8, ASP.NET Core Web API y Blazor WebAssembly con proyectos API, Web y contratos compartidos en AFRISAN_NUEVO/03_CODIGO. La persistencia objetivo es PostgreSQL/Supabase con EF Core; la API revisada usa almacenes de datos en memoria. IndexedDB conserva borradores locales. La arquitectura aprobada según confirmación del estudiante no acredita por sí sola el rediseño de datos ni su integración. [11] [14]</w:t>
      </w:r>
    </w:p>
    <w:p>
      <w:r>
        <w:t>Se requiere computador de desarrollo, conexión a Internet, entorno .NET, herramientas de documentación y modelado, repositorio Git y dispositivos con cámara para validar el uso real. El presupuesto de referencia utiliza recursos gratuitos o educativos; las condiciones de servicios y disponibilidad deben verificarse antes del despliegue.</w:t>
      </w:r>
    </w:p>
    <w:p>
      <w:r>
        <w:t>Disponibilidad informada de Dante: tres horas diarias. La planificación calcula semanas de jueves a miércoles a partir de la semana 12 informada para el 28 de octubre. Las fechas oficiales de entrega y defensa y la distribución de fases deben acordarse con el docente. No se consideran disponibles integrantes anteriores ni un equipo de aseguramiento de calidad separado. [10]</w:t>
      </w:r>
    </w:p>
    <w:p>
      <w:pPr>
        <w:pStyle w:val="Heading1"/>
      </w:pPr>
      <w:r>
        <w:t>13 Hitos y condiciones de aceptación</w:t>
      </w:r>
    </w:p>
    <w:p>
      <w:r>
        <w:t>La referencia de calendario informada por el estudiante el 28 de octubre de 2026 sitúa esa fecha en la semana 12 y establece semanas de jueves a miércoles. De ello se calcula la semana 1 desde el 6 de agosto, la semana 12 del 22 al 28 de octubre y la semana 18 del 3 al 9 de diciembre de 2026. La distribución de Fase 1 en S1-S6, Fase 2 en S7-S16 y Fase 3 en S17-S18 es una propuesta de organización; no acredita fechas oficiales de entrega o defensa. El cálculo supone semanas consecutivas, sin ajustes por recesos o recuperaciones.</w:t>
      </w:r>
    </w:p>
    <w:p>
      <w:r>
        <w:t>Los hitos expresamente indicados en las pautas son la evaluación formativa de Fase 1 en semana 2 y el informe de avance de Fase 2 en semana 9. Estos rótulos no acreditan por sí solos una entrega realizada ni una nueva fecha fijada. [12] [13]</w:t>
      </w:r>
    </w:p>
    <w:p>
      <w:r>
        <w:t>El incremento futuro G01 a G09 comprende 22 sesiones de tres horas, equivalentes a 66 horas estimadas. Las sesiones no son necesariamente días consecutivos y no incluyen espera de respuestas, defectos nuevos ni ampliaciones de alcance. H-SQL y H-LOCAL conservan duraciones históricas de referencia, separadas de estas 66 horas y de las horas efectivamente trabajadas, que no se encuentran registradas.</w:t>
      </w:r>
    </w:p>
    <w:p>
      <w:r>
        <w:t>Los registros del paquete son FASE_1/03_Plan_de_Trabajo_e_Hitos_Afrisan_DM.xlsx (plan de siete columnas), FASE_1/04_Carta_Gantt_Afrisan_DM.xlsx (distribución académica y sesiones) y FASE_2/01_Plan_de_Trabajo_y_Backlog_Fase_2_Afrisan_DM.xlsx (seguimiento de ocho columnas). La evidencia y los pendientes se consolidan en FASE_2/05_Evidencias_y_Pendientes_Afrisan_DM.xlsx.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4100"/>
            <w:vAlign w:val="center"/>
            <w:tcMar>
              <w:top w:w="85" w:type="dxa"/>
              <w:left w:w="85" w:type="dxa"/>
              <w:bottom w:w="85" w:type="dxa"/>
              <w:right w:w="85" w:type="dxa"/>
            </w:tcMar>
            <w:shd w:fill="24445F"/>
          </w:tcPr>
          <w:p>
            <w:pPr>
              <w:keepNext/>
              <w:spacing w:before="40" w:after="60" w:line="240" w:lineRule="auto"/>
            </w:pPr>
            <w:r>
              <w:rPr>
                <w:b/>
                <w:color w:val="FFFFFF"/>
                <w:sz w:val="22"/>
              </w:rPr>
              <w:t>Hito</w:t>
            </w:r>
          </w:p>
        </w:tc>
        <w:tc>
          <w:tcPr>
            <w:tcW w:type="dxa" w:w="5425"/>
            <w:vAlign w:val="center"/>
            <w:tcMar>
              <w:top w:w="85" w:type="dxa"/>
              <w:left w:w="85" w:type="dxa"/>
              <w:bottom w:w="85" w:type="dxa"/>
              <w:right w:w="85" w:type="dxa"/>
            </w:tcMar>
            <w:shd w:fill="24445F"/>
          </w:tcPr>
          <w:p>
            <w:pPr>
              <w:keepNext/>
              <w:spacing w:before="40" w:after="60" w:line="240" w:lineRule="auto"/>
            </w:pPr>
            <w:r>
              <w:rPr>
                <w:b/>
                <w:color w:val="FFFFFF"/>
                <w:sz w:val="22"/>
              </w:rPr>
              <w:t>Condición de salida</w:t>
            </w:r>
          </w:p>
        </w:tc>
      </w:tr>
      <w:tr>
        <w:trPr>
          <w:cantSplit/>
        </w:trPr>
        <w:tc>
          <w:tcPr>
            <w:tcW w:type="dxa" w:w="4100"/>
            <w:vAlign w:val="center"/>
            <w:tcMar>
              <w:top w:w="85" w:type="dxa"/>
              <w:left w:w="85" w:type="dxa"/>
              <w:bottom w:w="85" w:type="dxa"/>
              <w:right w:w="85" w:type="dxa"/>
            </w:tcMar>
          </w:tcPr>
          <w:p>
            <w:pPr>
              <w:spacing w:before="40" w:after="60" w:line="240" w:lineRule="auto"/>
            </w:pPr>
            <w:r>
              <w:rPr>
                <w:b w:val="0"/>
                <w:color w:val="000000"/>
                <w:sz w:val="22"/>
              </w:rPr>
              <w:t>Definición y planificación actualizadas</w:t>
            </w:r>
          </w:p>
        </w:tc>
        <w:tc>
          <w:tcPr>
            <w:tcW w:type="dxa" w:w="5425"/>
            <w:vAlign w:val="center"/>
            <w:tcMar>
              <w:top w:w="85" w:type="dxa"/>
              <w:left w:w="85" w:type="dxa"/>
              <w:bottom w:w="85" w:type="dxa"/>
              <w:right w:w="85" w:type="dxa"/>
            </w:tcMar>
          </w:tcPr>
          <w:p>
            <w:pPr>
              <w:spacing w:before="40" w:after="60" w:line="240" w:lineRule="auto"/>
            </w:pPr>
            <w:r>
              <w:rPr>
                <w:b w:val="0"/>
                <w:color w:val="000000"/>
                <w:sz w:val="22"/>
              </w:rPr>
              <w:t>Requisitos, responsables y cambios identificados; revisión por contraparte y adaptación individual documentadas.</w:t>
            </w:r>
          </w:p>
        </w:tc>
      </w:tr>
      <w:tr>
        <w:trPr>
          <w:cantSplit/>
        </w:trPr>
        <w:tc>
          <w:tcPr>
            <w:tcW w:type="dxa" w:w="4100"/>
            <w:vAlign w:val="center"/>
            <w:tcMar>
              <w:top w:w="85" w:type="dxa"/>
              <w:left w:w="85" w:type="dxa"/>
              <w:bottom w:w="85" w:type="dxa"/>
              <w:right w:w="85" w:type="dxa"/>
            </w:tcMar>
            <w:shd w:fill="F1F5F8"/>
          </w:tcPr>
          <w:p>
            <w:pPr>
              <w:spacing w:before="40" w:after="60" w:line="240" w:lineRule="auto"/>
            </w:pPr>
            <w:r>
              <w:rPr>
                <w:b w:val="0"/>
                <w:color w:val="000000"/>
                <w:sz w:val="22"/>
              </w:rPr>
              <w:t>Núcleo en memoria</w:t>
            </w:r>
          </w:p>
        </w:tc>
        <w:tc>
          <w:tcPr>
            <w:tcW w:type="dxa" w:w="5425"/>
            <w:vAlign w:val="center"/>
            <w:tcMar>
              <w:top w:w="85" w:type="dxa"/>
              <w:left w:w="85" w:type="dxa"/>
              <w:bottom w:w="85" w:type="dxa"/>
              <w:right w:w="85" w:type="dxa"/>
            </w:tcMar>
            <w:shd w:fill="F1F5F8"/>
          </w:tcPr>
          <w:p>
            <w:pPr>
              <w:spacing w:before="40" w:after="60" w:line="240" w:lineRule="auto"/>
            </w:pPr>
            <w:r>
              <w:rPr>
                <w:b w:val="0"/>
                <w:color w:val="000000"/>
                <w:sz w:val="22"/>
              </w:rPr>
              <w:t>Recorrido reproducible con evidencias y límites declarados. Evidencia registrada el 25 de octubre disponible.</w:t>
            </w:r>
          </w:p>
        </w:tc>
      </w:tr>
      <w:tr>
        <w:trPr>
          <w:cantSplit/>
        </w:trPr>
        <w:tc>
          <w:tcPr>
            <w:tcW w:type="dxa" w:w="4100"/>
            <w:vAlign w:val="center"/>
            <w:tcMar>
              <w:top w:w="85" w:type="dxa"/>
              <w:left w:w="85" w:type="dxa"/>
              <w:bottom w:w="85" w:type="dxa"/>
              <w:right w:w="85" w:type="dxa"/>
            </w:tcMar>
          </w:tcPr>
          <w:p>
            <w:pPr>
              <w:spacing w:before="40" w:after="60" w:line="240" w:lineRule="auto"/>
            </w:pPr>
            <w:r>
              <w:rPr>
                <w:b w:val="0"/>
                <w:color w:val="000000"/>
                <w:sz w:val="22"/>
              </w:rPr>
              <w:t>Persistencia e identidad reales</w:t>
            </w:r>
          </w:p>
        </w:tc>
        <w:tc>
          <w:tcPr>
            <w:tcW w:type="dxa" w:w="5425"/>
            <w:vAlign w:val="center"/>
            <w:tcMar>
              <w:top w:w="85" w:type="dxa"/>
              <w:left w:w="85" w:type="dxa"/>
              <w:bottom w:w="85" w:type="dxa"/>
              <w:right w:w="85" w:type="dxa"/>
            </w:tcMar>
          </w:tcPr>
          <w:p>
            <w:pPr>
              <w:spacing w:before="40" w:after="60" w:line="240" w:lineRule="auto"/>
            </w:pPr>
            <w:r>
              <w:rPr>
                <w:b w:val="0"/>
                <w:color w:val="000000"/>
                <w:sz w:val="22"/>
              </w:rPr>
              <w:t>Datos y fotos sobreviven al reinicio; reglas transaccionales y permisos comprobados con usuarios reales.</w:t>
            </w:r>
          </w:p>
        </w:tc>
      </w:tr>
      <w:tr>
        <w:trPr>
          <w:cantSplit/>
        </w:trPr>
        <w:tc>
          <w:tcPr>
            <w:tcW w:type="dxa" w:w="4100"/>
            <w:vAlign w:val="center"/>
            <w:tcMar>
              <w:top w:w="85" w:type="dxa"/>
              <w:left w:w="85" w:type="dxa"/>
              <w:bottom w:w="85" w:type="dxa"/>
              <w:right w:w="85" w:type="dxa"/>
            </w:tcMar>
            <w:shd w:fill="F1F5F8"/>
          </w:tcPr>
          <w:p>
            <w:pPr>
              <w:keepNext/>
              <w:spacing w:before="40" w:after="60" w:line="240" w:lineRule="auto"/>
            </w:pPr>
            <w:r>
              <w:rPr>
                <w:b w:val="0"/>
                <w:color w:val="000000"/>
                <w:sz w:val="22"/>
              </w:rPr>
              <w:t>Reglas y analítica</w:t>
            </w:r>
          </w:p>
        </w:tc>
        <w:tc>
          <w:tcPr>
            <w:tcW w:type="dxa" w:w="5425"/>
            <w:vAlign w:val="center"/>
            <w:tcMar>
              <w:top w:w="85" w:type="dxa"/>
              <w:left w:w="85" w:type="dxa"/>
              <w:bottom w:w="85" w:type="dxa"/>
              <w:right w:w="85" w:type="dxa"/>
            </w:tcMar>
            <w:shd w:fill="F1F5F8"/>
          </w:tcPr>
          <w:p>
            <w:pPr>
              <w:keepNext/>
              <w:spacing w:before="40" w:after="60" w:line="240" w:lineRule="auto"/>
            </w:pPr>
            <w:r>
              <w:rPr>
                <w:b w:val="0"/>
                <w:color w:val="000000"/>
                <w:sz w:val="22"/>
              </w:rPr>
              <w:t>Cómputo de límites y semántica ambiental acordados; Power BI conectado y contrastado con datos de origen.</w:t>
            </w:r>
          </w:p>
        </w:tc>
      </w:tr>
      <w:tr>
        <w:trPr>
          <w:cantSplit/>
        </w:trPr>
        <w:tc>
          <w:tcPr>
            <w:tcW w:type="dxa" w:w="4100"/>
            <w:vAlign w:val="center"/>
            <w:tcMar>
              <w:top w:w="85" w:type="dxa"/>
              <w:left w:w="85" w:type="dxa"/>
              <w:bottom w:w="85" w:type="dxa"/>
              <w:right w:w="85" w:type="dxa"/>
            </w:tcMar>
          </w:tcPr>
          <w:p>
            <w:pPr>
              <w:spacing w:before="40" w:after="60" w:line="240" w:lineRule="auto"/>
            </w:pPr>
            <w:r>
              <w:rPr>
                <w:b w:val="0"/>
                <w:color w:val="000000"/>
                <w:sz w:val="22"/>
              </w:rPr>
              <w:t>Calidad y transferencia</w:t>
            </w:r>
          </w:p>
        </w:tc>
        <w:tc>
          <w:tcPr>
            <w:tcW w:type="dxa" w:w="5425"/>
            <w:vAlign w:val="center"/>
            <w:tcMar>
              <w:top w:w="85" w:type="dxa"/>
              <w:left w:w="85" w:type="dxa"/>
              <w:bottom w:w="85" w:type="dxa"/>
              <w:right w:w="85" w:type="dxa"/>
            </w:tcMar>
          </w:tcPr>
          <w:p>
            <w:pPr>
              <w:spacing w:before="40" w:after="60" w:line="240" w:lineRule="auto"/>
            </w:pPr>
            <w:r>
              <w:rPr>
                <w:b w:val="0"/>
                <w:color w:val="000000"/>
                <w:sz w:val="22"/>
              </w:rPr>
              <w:t>Casos de pruebas de aceptación de usuarios, incidencias resueltas, manuales, despliegue y conformidad documentados.</w:t>
            </w:r>
          </w:p>
        </w:tc>
      </w:tr>
    </w:tbl>
    <w:p>
      <w:pPr>
        <w:spacing w:after="0"/>
      </w:pPr>
    </w:p>
    <w:p>
      <w:pPr>
        <w:pStyle w:val="Heading1"/>
      </w:pPr>
      <w:r>
        <w:t>14 Riesgos y respuesta</w:t>
      </w:r>
    </w:p>
    <w:p>
      <w:r>
        <w:t>Los antecedentes y criterios de esta tabla se apoyan en las fuentes [1], [5].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3177"/>
            <w:vAlign w:val="center"/>
            <w:tcMar>
              <w:top w:w="85" w:type="dxa"/>
              <w:left w:w="85" w:type="dxa"/>
              <w:bottom w:w="85" w:type="dxa"/>
              <w:right w:w="85" w:type="dxa"/>
            </w:tcMar>
            <w:shd w:fill="24445F"/>
          </w:tcPr>
          <w:p>
            <w:pPr>
              <w:keepNext/>
              <w:spacing w:before="40" w:after="60" w:line="240" w:lineRule="auto"/>
            </w:pPr>
            <w:r>
              <w:rPr>
                <w:b/>
                <w:color w:val="FFFFFF"/>
                <w:sz w:val="22"/>
              </w:rPr>
              <w:t>Riesgo</w:t>
            </w:r>
          </w:p>
        </w:tc>
        <w:tc>
          <w:tcPr>
            <w:tcW w:type="dxa" w:w="3724"/>
            <w:vAlign w:val="center"/>
            <w:tcMar>
              <w:top w:w="85" w:type="dxa"/>
              <w:left w:w="85" w:type="dxa"/>
              <w:bottom w:w="85" w:type="dxa"/>
              <w:right w:w="85" w:type="dxa"/>
            </w:tcMar>
            <w:shd w:fill="24445F"/>
          </w:tcPr>
          <w:p>
            <w:pPr>
              <w:keepNext/>
              <w:spacing w:before="40" w:after="60" w:line="240" w:lineRule="auto"/>
            </w:pPr>
            <w:r>
              <w:rPr>
                <w:b/>
                <w:color w:val="FFFFFF"/>
                <w:sz w:val="22"/>
              </w:rPr>
              <w:t>Respuesta prevista</w:t>
            </w:r>
          </w:p>
        </w:tc>
        <w:tc>
          <w:tcPr>
            <w:tcW w:type="dxa" w:w="2623"/>
            <w:vAlign w:val="center"/>
            <w:tcMar>
              <w:top w:w="85" w:type="dxa"/>
              <w:left w:w="85" w:type="dxa"/>
              <w:bottom w:w="85" w:type="dxa"/>
              <w:right w:w="85" w:type="dxa"/>
            </w:tcMar>
            <w:shd w:fill="24445F"/>
          </w:tcPr>
          <w:p>
            <w:pPr>
              <w:keepNext/>
              <w:spacing w:before="40" w:after="60" w:line="240" w:lineRule="auto"/>
            </w:pPr>
            <w:r>
              <w:rPr>
                <w:b/>
                <w:color w:val="FFFFFF"/>
                <w:sz w:val="22"/>
              </w:rPr>
              <w:t>Responsable actual</w:t>
            </w:r>
          </w:p>
        </w:tc>
      </w:tr>
      <w:tr>
        <w:trPr>
          <w:cantSplit/>
        </w:trPr>
        <w:tc>
          <w:tcPr>
            <w:tcW w:type="dxa" w:w="3177"/>
            <w:vAlign w:val="center"/>
            <w:tcMar>
              <w:top w:w="85" w:type="dxa"/>
              <w:left w:w="85" w:type="dxa"/>
              <w:bottom w:w="85" w:type="dxa"/>
              <w:right w:w="85" w:type="dxa"/>
            </w:tcMar>
          </w:tcPr>
          <w:p>
            <w:pPr>
              <w:spacing w:before="40" w:after="60" w:line="240" w:lineRule="auto"/>
            </w:pPr>
            <w:r>
              <w:rPr>
                <w:b w:val="0"/>
                <w:color w:val="000000"/>
                <w:sz w:val="22"/>
              </w:rPr>
              <w:t>Pérdida de datos al reiniciar la API</w:t>
            </w:r>
          </w:p>
        </w:tc>
        <w:tc>
          <w:tcPr>
            <w:tcW w:type="dxa" w:w="3724"/>
            <w:vAlign w:val="center"/>
            <w:tcMar>
              <w:top w:w="85" w:type="dxa"/>
              <w:left w:w="85" w:type="dxa"/>
              <w:bottom w:w="85" w:type="dxa"/>
              <w:right w:w="85" w:type="dxa"/>
            </w:tcMar>
          </w:tcPr>
          <w:p>
            <w:pPr>
              <w:spacing w:before="40" w:after="60" w:line="240" w:lineRule="auto"/>
            </w:pPr>
            <w:r>
              <w:rPr>
                <w:b w:val="0"/>
                <w:color w:val="000000"/>
                <w:sz w:val="22"/>
              </w:rPr>
              <w:t>Integrar persistencia y almacenamiento privado; verificar recuperación antes de uso operativo.</w:t>
            </w:r>
          </w:p>
        </w:tc>
        <w:tc>
          <w:tcPr>
            <w:tcW w:type="dxa" w:w="2623"/>
            <w:vAlign w:val="center"/>
            <w:tcMar>
              <w:top w:w="85" w:type="dxa"/>
              <w:left w:w="85" w:type="dxa"/>
              <w:bottom w:w="85" w:type="dxa"/>
              <w:right w:w="85" w:type="dxa"/>
            </w:tcMar>
          </w:tcPr>
          <w:p>
            <w:pPr>
              <w:spacing w:before="40" w:after="60" w:line="240" w:lineRule="auto"/>
            </w:pPr>
            <w:r>
              <w:rPr>
                <w:b w:val="0"/>
                <w:color w:val="000000"/>
                <w:sz w:val="22"/>
              </w:rPr>
              <w:t>Dante Moya</w:t>
            </w:r>
          </w:p>
        </w:tc>
      </w:tr>
      <w:tr>
        <w:trPr>
          <w:cantSplit/>
        </w:trPr>
        <w:tc>
          <w:tcPr>
            <w:tcW w:type="dxa" w:w="3177"/>
            <w:vAlign w:val="center"/>
            <w:tcMar>
              <w:top w:w="85" w:type="dxa"/>
              <w:left w:w="85" w:type="dxa"/>
              <w:bottom w:w="85" w:type="dxa"/>
              <w:right w:w="85" w:type="dxa"/>
            </w:tcMar>
            <w:shd w:fill="F1F5F8"/>
          </w:tcPr>
          <w:p>
            <w:pPr>
              <w:spacing w:before="40" w:after="60" w:line="240" w:lineRule="auto"/>
            </w:pPr>
            <w:r>
              <w:rPr>
                <w:b w:val="0"/>
                <w:color w:val="000000"/>
                <w:sz w:val="22"/>
              </w:rPr>
              <w:t>Interpretar reemplazo como consumo o emisión</w:t>
            </w:r>
          </w:p>
        </w:tc>
        <w:tc>
          <w:tcPr>
            <w:tcW w:type="dxa" w:w="3724"/>
            <w:vAlign w:val="center"/>
            <w:tcMar>
              <w:top w:w="85" w:type="dxa"/>
              <w:left w:w="85" w:type="dxa"/>
              <w:bottom w:w="85" w:type="dxa"/>
              <w:right w:w="85" w:type="dxa"/>
            </w:tcMar>
            <w:shd w:fill="F1F5F8"/>
          </w:tcPr>
          <w:p>
            <w:pPr>
              <w:spacing w:before="40" w:after="60" w:line="240" w:lineRule="auto"/>
            </w:pPr>
            <w:r>
              <w:rPr>
                <w:b w:val="0"/>
                <w:color w:val="000000"/>
                <w:sz w:val="22"/>
              </w:rPr>
              <w:t>Conservar identidad por envase y separar hechos físicos de cálculos ambientales.</w:t>
            </w:r>
          </w:p>
        </w:tc>
        <w:tc>
          <w:tcPr>
            <w:tcW w:type="dxa" w:w="2623"/>
            <w:vAlign w:val="center"/>
            <w:tcMar>
              <w:top w:w="85" w:type="dxa"/>
              <w:left w:w="85" w:type="dxa"/>
              <w:bottom w:w="85" w:type="dxa"/>
              <w:right w:w="85" w:type="dxa"/>
            </w:tcMar>
            <w:shd w:fill="F1F5F8"/>
          </w:tcPr>
          <w:p>
            <w:pPr>
              <w:spacing w:before="40" w:after="60" w:line="240" w:lineRule="auto"/>
            </w:pPr>
            <w:r>
              <w:rPr>
                <w:b w:val="0"/>
                <w:color w:val="000000"/>
                <w:sz w:val="22"/>
              </w:rPr>
              <w:t>Dante con validación de contraparte</w:t>
            </w:r>
          </w:p>
        </w:tc>
      </w:tr>
      <w:tr>
        <w:trPr>
          <w:cantSplit/>
        </w:trPr>
        <w:tc>
          <w:tcPr>
            <w:tcW w:type="dxa" w:w="3177"/>
            <w:vAlign w:val="center"/>
            <w:tcMar>
              <w:top w:w="85" w:type="dxa"/>
              <w:left w:w="85" w:type="dxa"/>
              <w:bottom w:w="85" w:type="dxa"/>
              <w:right w:w="85" w:type="dxa"/>
            </w:tcMar>
          </w:tcPr>
          <w:p>
            <w:pPr>
              <w:spacing w:before="40" w:after="60" w:line="240" w:lineRule="auto"/>
            </w:pPr>
            <w:r>
              <w:rPr>
                <w:b w:val="0"/>
                <w:color w:val="000000"/>
                <w:sz w:val="22"/>
              </w:rPr>
              <w:t>Sobrecarga por continuidad individual</w:t>
            </w:r>
          </w:p>
        </w:tc>
        <w:tc>
          <w:tcPr>
            <w:tcW w:type="dxa" w:w="3724"/>
            <w:vAlign w:val="center"/>
            <w:tcMar>
              <w:top w:w="85" w:type="dxa"/>
              <w:left w:w="85" w:type="dxa"/>
              <w:bottom w:w="85" w:type="dxa"/>
              <w:right w:w="85" w:type="dxa"/>
            </w:tcMar>
          </w:tcPr>
          <w:p>
            <w:pPr>
              <w:spacing w:before="40" w:after="60" w:line="240" w:lineRule="auto"/>
            </w:pPr>
            <w:r>
              <w:rPr>
                <w:b w:val="0"/>
                <w:color w:val="000000"/>
                <w:sz w:val="22"/>
              </w:rPr>
              <w:t>Priorizar flujo completo, persistencia y evidencias; replanificar con capacidad de tres horas diarias.</w:t>
            </w:r>
          </w:p>
        </w:tc>
        <w:tc>
          <w:tcPr>
            <w:tcW w:type="dxa" w:w="2623"/>
            <w:vAlign w:val="center"/>
            <w:tcMar>
              <w:top w:w="85" w:type="dxa"/>
              <w:left w:w="85" w:type="dxa"/>
              <w:bottom w:w="85" w:type="dxa"/>
              <w:right w:w="85" w:type="dxa"/>
            </w:tcMar>
          </w:tcPr>
          <w:p>
            <w:pPr>
              <w:spacing w:before="40" w:after="60" w:line="240" w:lineRule="auto"/>
            </w:pPr>
            <w:r>
              <w:rPr>
                <w:b w:val="0"/>
                <w:color w:val="000000"/>
                <w:sz w:val="22"/>
              </w:rPr>
              <w:t>Dante Moya</w:t>
            </w:r>
          </w:p>
        </w:tc>
      </w:tr>
      <w:tr>
        <w:trPr>
          <w:cantSplit/>
        </w:trPr>
        <w:tc>
          <w:tcPr>
            <w:tcW w:type="dxa" w:w="3177"/>
            <w:vAlign w:val="center"/>
            <w:tcMar>
              <w:top w:w="85" w:type="dxa"/>
              <w:left w:w="85" w:type="dxa"/>
              <w:bottom w:w="85" w:type="dxa"/>
              <w:right w:w="85" w:type="dxa"/>
            </w:tcMar>
            <w:shd w:fill="F1F5F8"/>
          </w:tcPr>
          <w:p>
            <w:pPr>
              <w:spacing w:before="40" w:after="60" w:line="240" w:lineRule="auto"/>
            </w:pPr>
            <w:r>
              <w:rPr>
                <w:b w:val="0"/>
                <w:color w:val="000000"/>
                <w:sz w:val="22"/>
              </w:rPr>
              <w:t>Captura real, red y dispositivos no comprobados</w:t>
            </w:r>
          </w:p>
        </w:tc>
        <w:tc>
          <w:tcPr>
            <w:tcW w:type="dxa" w:w="3724"/>
            <w:vAlign w:val="center"/>
            <w:tcMar>
              <w:top w:w="85" w:type="dxa"/>
              <w:left w:w="85" w:type="dxa"/>
              <w:bottom w:w="85" w:type="dxa"/>
              <w:right w:w="85" w:type="dxa"/>
            </w:tcMar>
            <w:shd w:fill="F1F5F8"/>
          </w:tcPr>
          <w:p>
            <w:pPr>
              <w:spacing w:before="40" w:after="60" w:line="240" w:lineRule="auto"/>
            </w:pPr>
            <w:r>
              <w:rPr>
                <w:b w:val="0"/>
                <w:color w:val="000000"/>
                <w:sz w:val="22"/>
              </w:rPr>
              <w:t>Validar cámara, lectura QR, sin conexión, sincronización y conflictos en dispositivos reales.</w:t>
            </w:r>
          </w:p>
        </w:tc>
        <w:tc>
          <w:tcPr>
            <w:tcW w:type="dxa" w:w="2623"/>
            <w:vAlign w:val="center"/>
            <w:tcMar>
              <w:top w:w="85" w:type="dxa"/>
              <w:left w:w="85" w:type="dxa"/>
              <w:bottom w:w="85" w:type="dxa"/>
              <w:right w:w="85" w:type="dxa"/>
            </w:tcMar>
            <w:shd w:fill="F1F5F8"/>
          </w:tcPr>
          <w:p>
            <w:pPr>
              <w:spacing w:before="40" w:after="60" w:line="240" w:lineRule="auto"/>
            </w:pPr>
            <w:r>
              <w:rPr>
                <w:b w:val="0"/>
                <w:color w:val="000000"/>
                <w:sz w:val="22"/>
              </w:rPr>
              <w:t>Dante con usuarios de AFRISAN</w:t>
            </w:r>
          </w:p>
        </w:tc>
      </w:tr>
      <w:tr>
        <w:trPr>
          <w:cantSplit/>
        </w:trPr>
        <w:tc>
          <w:tcPr>
            <w:tcW w:type="dxa" w:w="3177"/>
            <w:vAlign w:val="center"/>
            <w:tcMar>
              <w:top w:w="85" w:type="dxa"/>
              <w:left w:w="85" w:type="dxa"/>
              <w:bottom w:w="85" w:type="dxa"/>
              <w:right w:w="85" w:type="dxa"/>
            </w:tcMar>
          </w:tcPr>
          <w:p>
            <w:pPr>
              <w:keepNext/>
              <w:spacing w:before="40" w:after="60" w:line="240" w:lineRule="auto"/>
            </w:pPr>
            <w:r>
              <w:rPr>
                <w:b w:val="0"/>
                <w:color w:val="000000"/>
                <w:sz w:val="22"/>
              </w:rPr>
              <w:t>Diferencia entre evidencia técnica y aceptación</w:t>
            </w:r>
          </w:p>
        </w:tc>
        <w:tc>
          <w:tcPr>
            <w:tcW w:type="dxa" w:w="3724"/>
            <w:vAlign w:val="center"/>
            <w:tcMar>
              <w:top w:w="85" w:type="dxa"/>
              <w:left w:w="85" w:type="dxa"/>
              <w:bottom w:w="85" w:type="dxa"/>
              <w:right w:w="85" w:type="dxa"/>
            </w:tcMar>
          </w:tcPr>
          <w:p>
            <w:pPr>
              <w:keepNext/>
              <w:spacing w:before="40" w:after="60" w:line="240" w:lineRule="auto"/>
            </w:pPr>
            <w:r>
              <w:rPr>
                <w:b w:val="0"/>
                <w:color w:val="000000"/>
                <w:sz w:val="22"/>
              </w:rPr>
              <w:t>Separar resultados de guiones, pruebas de aceptación de usuarios, conformidad del cliente y evaluación docente.</w:t>
            </w:r>
          </w:p>
        </w:tc>
        <w:tc>
          <w:tcPr>
            <w:tcW w:type="dxa" w:w="2623"/>
            <w:vAlign w:val="center"/>
            <w:tcMar>
              <w:top w:w="85" w:type="dxa"/>
              <w:left w:w="85" w:type="dxa"/>
              <w:bottom w:w="85" w:type="dxa"/>
              <w:right w:w="85" w:type="dxa"/>
            </w:tcMar>
          </w:tcPr>
          <w:p>
            <w:pPr>
              <w:keepNext/>
              <w:spacing w:before="40" w:after="60" w:line="240" w:lineRule="auto"/>
            </w:pPr>
            <w:r>
              <w:rPr>
                <w:b w:val="0"/>
                <w:color w:val="000000"/>
                <w:sz w:val="22"/>
              </w:rPr>
              <w:t>Dante Moya</w:t>
            </w:r>
          </w:p>
        </w:tc>
      </w:tr>
      <w:tr>
        <w:trPr>
          <w:cantSplit/>
        </w:trPr>
        <w:tc>
          <w:tcPr>
            <w:tcW w:type="dxa" w:w="3177"/>
            <w:vAlign w:val="center"/>
            <w:tcMar>
              <w:top w:w="85" w:type="dxa"/>
              <w:left w:w="85" w:type="dxa"/>
              <w:bottom w:w="85" w:type="dxa"/>
              <w:right w:w="85" w:type="dxa"/>
            </w:tcMar>
            <w:shd w:fill="F1F5F8"/>
          </w:tcPr>
          <w:p>
            <w:pPr>
              <w:spacing w:before="40" w:after="60" w:line="240" w:lineRule="auto"/>
            </w:pPr>
            <w:r>
              <w:rPr>
                <w:b w:val="0"/>
                <w:color w:val="000000"/>
                <w:sz w:val="22"/>
              </w:rPr>
              <w:t>Decisiones pendientes de límites y correcciones</w:t>
            </w:r>
          </w:p>
        </w:tc>
        <w:tc>
          <w:tcPr>
            <w:tcW w:type="dxa" w:w="3724"/>
            <w:vAlign w:val="center"/>
            <w:tcMar>
              <w:top w:w="85" w:type="dxa"/>
              <w:left w:w="85" w:type="dxa"/>
              <w:bottom w:w="85" w:type="dxa"/>
              <w:right w:w="85" w:type="dxa"/>
            </w:tcMar>
            <w:shd w:fill="F1F5F8"/>
          </w:tcPr>
          <w:p>
            <w:pPr>
              <w:spacing w:before="40" w:after="60" w:line="240" w:lineRule="auto"/>
            </w:pPr>
            <w:r>
              <w:rPr>
                <w:b w:val="0"/>
                <w:color w:val="000000"/>
                <w:sz w:val="22"/>
              </w:rPr>
              <w:t>Registrar preguntas, responsable y decisión antes de ampliar reglas o modificar pesos.</w:t>
            </w:r>
          </w:p>
        </w:tc>
        <w:tc>
          <w:tcPr>
            <w:tcW w:type="dxa" w:w="2623"/>
            <w:vAlign w:val="center"/>
            <w:tcMar>
              <w:top w:w="85" w:type="dxa"/>
              <w:left w:w="85" w:type="dxa"/>
              <w:bottom w:w="85" w:type="dxa"/>
              <w:right w:w="85" w:type="dxa"/>
            </w:tcMar>
            <w:shd w:fill="F1F5F8"/>
          </w:tcPr>
          <w:p>
            <w:pPr>
              <w:spacing w:before="40" w:after="60" w:line="240" w:lineRule="auto"/>
            </w:pPr>
            <w:r>
              <w:rPr>
                <w:b w:val="0"/>
                <w:color w:val="000000"/>
                <w:sz w:val="22"/>
              </w:rPr>
              <w:t>Contraparte y Dante Moya</w:t>
            </w:r>
          </w:p>
        </w:tc>
      </w:tr>
    </w:tbl>
    <w:p>
      <w:pPr>
        <w:spacing w:after="0"/>
      </w:pPr>
    </w:p>
    <w:p>
      <w:pPr>
        <w:pStyle w:val="Heading1"/>
      </w:pPr>
      <w:r>
        <w:t>15 Gobernanza y aprobación</w:t>
      </w:r>
    </w:p>
    <w:p>
      <w:r>
        <w:t>Dante mantiene implementación, planificación y evidencia. Carlos Aguilera es la contraparte de negocio registrada y Carlos Quintanilla el docente guía registrado. Los permisos de usuario de la aplicación se separan de estos cargos académicos y organizacionales. [1] [3]</w:t>
      </w:r>
    </w:p>
    <w:p>
      <w:r>
        <w:t>El acta de referencia del 3 de septiembre de 2026 registra la aprobación de la contraparte y mantiene pendiente la del docente. Esos estados se conservan como antecedente histórico y no se trasladan como firmas de esta versión. La actualización del nuevo flujo, sus criterios y el calendario replanificado quedan sujetos a revisión de la contraparte y del docente. No se inventan firmas, reuniones ni conformidades.</w:t>
      </w:r>
    </w:p>
    <w:p>
      <w:pPr>
        <w:pStyle w:val="Heading1"/>
      </w:pPr>
      <w:r>
        <w:t>16 Fuentes y antecedentes</w:t>
      </w:r>
    </w:p>
    <w:p>
      <w:pPr>
        <w:keepNext/>
        <w:keepLines/>
      </w:pPr>
      <w:r>
        <w:t>Las citas numéricas del texto remiten a las referencias siguientes. Los antecedentes se conservan en ANEXOS/FUENTES con su estructura y autoría originales; los enlaces abren esas copias. Las fechas de los ensayos corresponden a las ejecuciones guardadas. La revisión documental no incorpora nuevas pruebas de la aplicación. Cuando la fuente no declara una fecha editorial se indica s. f.</w:t>
      </w:r>
    </w:p>
    <w:p>
      <w:pPr>
        <w:keepLines/>
        <w:spacing w:after="120"/>
      </w:pPr>
      <w:r>
        <w:t xml:space="preserve">[1] Moya, Dante y Larraguibel, Yarek. (2026). Acta de constitución del proyecto AFRISAN, versión corregida [Documento grupal histórico]. </w:t>
      </w:r>
      <w:hyperlink r:id="rId9">
        <w:r>
          <w:rPr>
            <w:color w:val="24445F"/>
          </w:rPr>
          <w:t>EVIDENCIAS_​GRUPALES/​Documentación del Proyecto/​ACTUAL/​00_​Acta_​de_​Constitucion_​AFRISAN_​Corregida.docx</w:t>
        </w:r>
      </w:hyperlink>
    </w:p>
    <w:p>
      <w:pPr>
        <w:keepLines/>
        <w:spacing w:after="120"/>
      </w:pPr>
      <w:r>
        <w:t xml:space="preserve">[2] Proyecto AFRISAN (contenido del proyecto); pmoinformatica.com (plantilla). (s. f.). Product backlog de AFRISAN, versión corregida [Libro de planificación histórico]. </w:t>
      </w:r>
      <w:hyperlink r:id="rId10">
        <w:r>
          <w:rPr>
            <w:color w:val="24445F"/>
          </w:rPr>
          <w:t>EVIDENCIAS_​GRUPALES/​Documentación del Proyecto/​ACTUAL/​01_​Product_​Backlog_​AFRISAN_​Corregido.xlsx</w:t>
        </w:r>
      </w:hyperlink>
    </w:p>
    <w:p>
      <w:pPr>
        <w:keepLines/>
        <w:spacing w:after="120"/>
      </w:pPr>
      <w:r>
        <w:t xml:space="preserve">[3] Moya, Dante. (2026). Contexto del negocio y acuerdos [Definición de negocio registrada en el proyecto]. </w:t>
      </w:r>
      <w:hyperlink r:id="rId11">
        <w:r>
          <w:rPr>
            <w:color w:val="24445F"/>
          </w:rPr>
          <w:t>AFRISAN_​NUEVO/​01_​NEGOCIO/​00_​CONTEXTO_​Y_​ACUERDOS.md</w:t>
        </w:r>
      </w:hyperlink>
    </w:p>
    <w:p>
      <w:pPr>
        <w:keepLines/>
        <w:spacing w:after="120"/>
      </w:pPr>
      <w:r>
        <w:t xml:space="preserve">[4] Moya, Dante. (2026). OT: definición del negocio proporcionada por Dante [Definición de negocio registrada en el proyecto]. </w:t>
      </w:r>
      <w:hyperlink r:id="rId12">
        <w:r>
          <w:rPr>
            <w:color w:val="24445F"/>
          </w:rPr>
          <w:t>AFRISAN_​NUEVO/​01_​NEGOCIO/​07_​OT_​DEFINICION_​DANTE.md</w:t>
        </w:r>
      </w:hyperlink>
    </w:p>
    <w:p>
      <w:pPr>
        <w:keepLines/>
        <w:spacing w:after="120"/>
      </w:pPr>
      <w:r>
        <w:t xml:space="preserve">[5] Moya, Dante. (2026). Retiro por el técnico, cambio y revisión posterior [Definición de negocio registrada en el proyecto]. </w:t>
      </w:r>
      <w:hyperlink r:id="rId13">
        <w:r>
          <w:rPr>
            <w:color w:val="24445F"/>
          </w:rPr>
          <w:t>AFRISAN_​NUEVO/​01_​NEGOCIO/​12_​FLUJO_​TERRENO_​DESPACHO_​Y_​REVISION.md</w:t>
        </w:r>
      </w:hyperlink>
    </w:p>
    <w:p>
      <w:pPr>
        <w:keepLines/>
        <w:spacing w:after="120"/>
      </w:pPr>
      <w:r>
        <w:t xml:space="preserve">[6] Proyecto AFRISAN. (2026). Flujo de terreno corregido según Dante [Registro de validación técnica]. </w:t>
      </w:r>
      <w:hyperlink r:id="rId14">
        <w:r>
          <w:rPr>
            <w:color w:val="24445F"/>
          </w:rPr>
          <w:t>AFRISAN_​NUEVO/​04_​SEGUIMIENTO/​FLUJO_​TERRENO_​2026_​10_​25/​README.md</w:t>
        </w:r>
      </w:hyperlink>
    </w:p>
    <w:p>
      <w:pPr>
        <w:keepLines/>
        <w:spacing w:after="120"/>
      </w:pPr>
      <w:r>
        <w:t xml:space="preserve">[7] Proyecto AFRISAN. (2026). Validación del SQL del contexto actual [Registro de validación técnica]. </w:t>
      </w:r>
      <w:hyperlink r:id="rId15">
        <w:r>
          <w:rPr>
            <w:color w:val="24445F"/>
          </w:rPr>
          <w:t>AFRISAN_​NUEVO/​04_​SEGUIMIENTO/​VALIDACION_​SQL_​CONTEXTO_​2026_​10_​25/​README.md</w:t>
        </w:r>
      </w:hyperlink>
    </w:p>
    <w:p>
      <w:pPr>
        <w:keepLines/>
        <w:spacing w:after="120"/>
      </w:pPr>
      <w:r>
        <w:t xml:space="preserve">[8] Proyecto AFRISAN. (s. f.). AFRISAN-APT: índice y orientación del repositorio [Índice documental del proyecto]. </w:t>
      </w:r>
      <w:hyperlink r:id="rId16">
        <w:r>
          <w:rPr>
            <w:color w:val="24445F"/>
          </w:rPr>
          <w:t>README.md</w:t>
        </w:r>
      </w:hyperlink>
    </w:p>
    <w:p>
      <w:pPr>
        <w:keepLines/>
        <w:spacing w:after="120"/>
      </w:pPr>
      <w:r>
        <w:t xml:space="preserve">[9] Duoc UC (guía); Carolina Ávila, Dante Moya y Yarek Larraguibel (contenido completado). (s. f.). Guía del estudiante: Fase 1, Definición del Proyecto APT, completada para AFRISAN [Guía académica con contenido del equipo histórico]. </w:t>
      </w:r>
      <w:hyperlink r:id="rId17">
        <w:r>
          <w:rPr>
            <w:color w:val="24445F"/>
          </w:rPr>
          <w:t>EVIDENCIAS_​GRUPALES/​1.5_​GuiaEstudiante_​Fase 1_​Definicion Proyecto APT (1).docx</w:t>
        </w:r>
      </w:hyperlink>
    </w:p>
    <w:p>
      <w:pPr>
        <w:keepLines/>
        <w:spacing w:after="120"/>
      </w:pPr>
      <w:r>
        <w:t xml:space="preserve">[10] Moya, Dante. (2026). Plan de trabajo de ocho columnas para Fase 2, actualizado al 22 de octubre de 2026 [Plan de trabajo individual]. </w:t>
      </w:r>
      <w:hyperlink r:id="rId18">
        <w:r>
          <w:rPr>
            <w:color w:val="24445F"/>
          </w:rPr>
          <w:t>EVIDENCIAS_​GRUPALES/​EVA_​2/​01_​PLAN_​DE_​TRABAJO_​8_​COLUMNAS_​FASE_​2.md</w:t>
        </w:r>
      </w:hyperlink>
    </w:p>
    <w:p>
      <w:pPr>
        <w:keepLines/>
        <w:spacing w:after="120"/>
      </w:pPr>
      <w:r>
        <w:t xml:space="preserve">[11] Proyecto AFRISAN. (2026). AFRISAN nuevo: primera entrega de inventario [Documentación técnica del proyecto]. </w:t>
      </w:r>
      <w:hyperlink r:id="rId19">
        <w:r>
          <w:rPr>
            <w:color w:val="24445F"/>
          </w:rPr>
          <w:t>AFRISAN_​NUEVO/​03_​CODIGO/​README.md</w:t>
        </w:r>
      </w:hyperlink>
    </w:p>
    <w:p>
      <w:pPr>
        <w:keepLines/>
        <w:spacing w:after="120"/>
      </w:pPr>
      <w:r>
        <w:t xml:space="preserve">[12] Duoc UC. (s. f.). Evaluación Fase 1: Formativa de definición del Proyecto APT [Pauta académica institucional]. </w:t>
      </w:r>
      <w:hyperlink r:id="rId20">
        <w:r>
          <w:rPr>
            <w:color w:val="24445F"/>
          </w:rPr>
          <w:t>EVIDENCIAS_​GRUPALES/​1.4_​APT122_​FormativaFase1.docx</w:t>
        </w:r>
      </w:hyperlink>
    </w:p>
    <w:p>
      <w:pPr>
        <w:keepLines/>
        <w:spacing w:after="120"/>
      </w:pPr>
      <w:r>
        <w:t xml:space="preserve">[13] Duoc UC. (s. f.). Evaluación Fase 2: Informe de avance del Proyecto APT [Pauta académica institucional]. </w:t>
      </w:r>
      <w:hyperlink r:id="rId21">
        <w:r>
          <w:rPr>
            <w:color w:val="24445F"/>
          </w:rPr>
          <w:t>2.5_​APT122_​Sumativa Avance Fase2.pdf</w:t>
        </w:r>
      </w:hyperlink>
    </w:p>
    <w:p>
      <w:pPr>
        <w:keepLines/>
        <w:spacing w:after="120"/>
      </w:pPr>
      <w:r>
        <w:t xml:space="preserve">[14] Proyecto AFRISAN. (s. f.). Servicio de trabajo local de la aplicación web [Archivo de código fuente]. </w:t>
      </w:r>
      <w:hyperlink r:id="rId22">
        <w:r>
          <w:rPr>
            <w:color w:val="24445F"/>
          </w:rPr>
          <w:t>AFRISAN_​NUEVO/​03_​CODIGO/​Afrisan.Nuevo.Web/​Services/​TrabajoLocalService.cs</w:t>
        </w:r>
      </w:hyperlink>
    </w:p>
    <w:sectPr w:rsidR="00FC693F" w:rsidRPr="0006063C" w:rsidSect="00034616">
      <w:footerReference w:type="default" r:id="rId23"/>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AFRISAN DM · 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NEXOS/FUENTES/EVIDENCIAS_GRUPALES/Documentaci%C3%B3n%20del%20Proyecto/ACTUAL/00_Acta_de_Constitucion_AFRISAN_Corregida.docx" TargetMode="External"/><Relationship Id="rId10" Type="http://schemas.openxmlformats.org/officeDocument/2006/relationships/hyperlink" Target="../ANEXOS/FUENTES/EVIDENCIAS_GRUPALES/Documentaci%C3%B3n%20del%20Proyecto/ACTUAL/01_Product_Backlog_AFRISAN_Corregido.xlsx" TargetMode="External"/><Relationship Id="rId11" Type="http://schemas.openxmlformats.org/officeDocument/2006/relationships/hyperlink" Target="../ANEXOS/FUENTES/AFRISAN_NUEVO/01_NEGOCIO/00_CONTEXTO_Y_ACUERDOS.md" TargetMode="External"/><Relationship Id="rId12" Type="http://schemas.openxmlformats.org/officeDocument/2006/relationships/hyperlink" Target="../ANEXOS/FUENTES/AFRISAN_NUEVO/01_NEGOCIO/07_OT_DEFINICION_DANTE.md" TargetMode="External"/><Relationship Id="rId13" Type="http://schemas.openxmlformats.org/officeDocument/2006/relationships/hyperlink" Target="../ANEXOS/FUENTES/AFRISAN_NUEVO/01_NEGOCIO/12_FLUJO_TERRENO_DESPACHO_Y_REVISION.md" TargetMode="External"/><Relationship Id="rId14" Type="http://schemas.openxmlformats.org/officeDocument/2006/relationships/hyperlink" Target="../ANEXOS/FUENTES/AFRISAN_NUEVO/04_SEGUIMIENTO/FLUJO_TERRENO_2026_10_25/README.md" TargetMode="External"/><Relationship Id="rId15" Type="http://schemas.openxmlformats.org/officeDocument/2006/relationships/hyperlink" Target="../ANEXOS/FUENTES/AFRISAN_NUEVO/04_SEGUIMIENTO/VALIDACION_SQL_CONTEXTO_2026_10_25/README.md" TargetMode="External"/><Relationship Id="rId16" Type="http://schemas.openxmlformats.org/officeDocument/2006/relationships/hyperlink" Target="../ANEXOS/FUENTES/README.md" TargetMode="External"/><Relationship Id="rId17" Type="http://schemas.openxmlformats.org/officeDocument/2006/relationships/hyperlink" Target="../ANEXOS/FUENTES/EVIDENCIAS_GRUPALES/1.5_GuiaEstudiante_Fase%201_Definicion%20Proyecto%20APT%20%281%29.docx" TargetMode="External"/><Relationship Id="rId18" Type="http://schemas.openxmlformats.org/officeDocument/2006/relationships/hyperlink" Target="../ANEXOS/FUENTES/EVIDENCIAS_GRUPALES/EVA_2/01_PLAN_DE_TRABAJO_8_COLUMNAS_FASE_2.md" TargetMode="External"/><Relationship Id="rId19" Type="http://schemas.openxmlformats.org/officeDocument/2006/relationships/hyperlink" Target="../ANEXOS/FUENTES/AFRISAN_NUEVO/03_CODIGO/README.md" TargetMode="External"/><Relationship Id="rId20" Type="http://schemas.openxmlformats.org/officeDocument/2006/relationships/hyperlink" Target="../ANEXOS/FUENTES/EVIDENCIAS_GRUPALES/1.4_APT122_FormativaFase1.docx" TargetMode="External"/><Relationship Id="rId21" Type="http://schemas.openxmlformats.org/officeDocument/2006/relationships/hyperlink" Target="../ANEXOS/FUENTES/2.5_APT122_Sumativa%20Avance%20Fase2.pdf" TargetMode="External"/><Relationship Id="rId22" Type="http://schemas.openxmlformats.org/officeDocument/2006/relationships/hyperlink" Target="../ANEXOS/FUENTES/AFRISAN_NUEVO/03_CODIGO/Afrisan.Nuevo.Web/Services/TrabajoLocalService.cs"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nuevo AFRISAN</dc:title>
  <dc:subject>Nuevo AFRISAN · Documentación APT en español · Revisión 29/10/2026</dc:subject>
  <dc:creator>Dante Moya</dc:creator>
  <cp:keywords/>
  <dc:description>Actualización documental con conservación de antecedentes y autoría histórica.</dc:description>
  <cp:lastModifiedBy/>
  <cp:revision>1</cp:revision>
  <dcterms:created xsi:type="dcterms:W3CDTF">2013-12-23T23:15:00Z</dcterms:created>
  <dcterms:modified xsi:type="dcterms:W3CDTF">2013-12-23T23:15:00Z</dcterms:modified>
  <cp:category/>
  <dc:language>es-CL</dc:language>
</cp:coreProperties>
</file>