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Duoc UC</w:t>
      </w:r>
    </w:p>
    <w:p>
      <w:pPr>
        <w:pStyle w:val="Subtitle"/>
      </w:pPr>
      <w:r>
        <w:t>Escuela de Informática y Telecomunicaciones</w:t>
      </w:r>
    </w:p>
    <w:p>
      <w:pPr>
        <w:pStyle w:val="Subtitle"/>
      </w:pPr>
      <w:r>
        <w:t>Ingeniería en Informática · Proyecto APT</w:t>
      </w:r>
    </w:p>
    <w:p/>
    <w:p>
      <w:pPr>
        <w:pStyle w:val="Title"/>
      </w:pPr>
      <w:r>
        <w:t>Definición del proyecto AFRISAN</w:t>
      </w:r>
    </w:p>
    <w:p>
      <w:pPr>
        <w:pStyle w:val="Subtitle"/>
      </w:pPr>
      <w:r>
        <w:t>Informe de Fase 1 actualizado al contexto de Dante Moya  29 de octubre de 2026</w:t>
      </w:r>
    </w:p>
    <w:p>
      <w:r>
        <w:t>AFRISAN · Sistema Integral de Gestión y Trazabilidad de Refrigerantes</w:t>
      </w:r>
    </w:p>
    <w:p>
      <w:r>
        <w:t>Responsable actual Dante Moya</w:t>
      </w:r>
    </w:p>
    <w:p>
      <w:r>
        <w:t>29 de octubre de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  Antecedentes personales y académicos</w:t>
      </w:r>
    </w:p>
    <w:p>
      <w:r>
        <w:t>2  Resumen</w:t>
      </w:r>
    </w:p>
    <w:p>
      <w:r>
        <w:t>3  Antecedentes y descripción del proyecto</w:t>
      </w:r>
    </w:p>
    <w:p>
      <w:r>
        <w:t>4  Relevancia profesional y valor esperado</w:t>
      </w:r>
    </w:p>
    <w:p>
      <w:r>
        <w:t>5  Competencias y áreas de desempeño</w:t>
      </w:r>
    </w:p>
    <w:p>
      <w:r>
        <w:t>6  Intereses profesionales</w:t>
      </w:r>
    </w:p>
    <w:p>
      <w:r>
        <w:t>7  Objetivos</w:t>
      </w:r>
    </w:p>
    <w:p>
      <w:r>
        <w:t>8  Metodología y etapas</w:t>
      </w:r>
    </w:p>
    <w:p>
      <w:r>
        <w:t>9  Factibilidad y recursos</w:t>
      </w:r>
    </w:p>
    <w:p>
      <w:r>
        <w:t>10  Plan de trabajo y evidencias</w:t>
      </w:r>
    </w:p>
    <w:p>
      <w:r>
        <w:t>11  Estado observado y límites</w:t>
      </w:r>
    </w:p>
    <w:p>
      <w:r>
        <w:t>12  Conclusiones</w:t>
      </w:r>
    </w:p>
    <w:p>
      <w:r>
        <w:t>13  Reflexión individual</w:t>
      </w:r>
    </w:p>
    <w:p>
      <w:r>
        <w:t>14  Fuentes y antecedentes</w:t>
      </w:r>
    </w:p>
    <w:p>
      <w:r>
        <w:br w:type="page"/>
      </w:r>
    </w:p>
    <w:p>
      <w:pPr>
        <w:pStyle w:val="Heading1"/>
      </w:pPr>
      <w:r>
        <w:t>1 Antecedentes personales y académicos</w:t>
      </w:r>
    </w:p>
    <w:p>
      <w:r>
        <w:t>Los antecedentes y criterios de esta tabla se apoyan en las fuentes [1], [3]. La asignación y el estado de la versión actual corresponden al corte documental del 28 de octubre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rPr>
          <w:tblHeader/>
        </w:trPr>
        <w:tc>
          <w:tcPr>
            <w:tcW w:type="dxa" w:w="42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5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Dato</w:t>
            </w:r>
          </w:p>
        </w:tc>
      </w:tr>
      <w:tr>
        <w:trPr>
          <w:cantSplit/>
        </w:trPr>
        <w:tc>
          <w:tcPr>
            <w:tcW w:type="dxa" w:w="42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Estudiante responsable actual</w:t>
            </w:r>
          </w:p>
        </w:tc>
        <w:tc>
          <w:tcPr>
            <w:tcW w:type="dxa" w:w="5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</w:t>
            </w:r>
          </w:p>
        </w:tc>
      </w:tr>
      <w:tr>
        <w:trPr>
          <w:cantSplit/>
        </w:trPr>
        <w:tc>
          <w:tcPr>
            <w:tcW w:type="dxa" w:w="42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RUT registrado en acta original</w:t>
            </w:r>
          </w:p>
        </w:tc>
        <w:tc>
          <w:tcPr>
            <w:tcW w:type="dxa" w:w="5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21.685.640-6</w:t>
            </w:r>
          </w:p>
        </w:tc>
      </w:tr>
      <w:tr>
        <w:trPr>
          <w:cantSplit/>
        </w:trPr>
        <w:tc>
          <w:tcPr>
            <w:tcW w:type="dxa" w:w="42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Carrera e institución</w:t>
            </w:r>
          </w:p>
        </w:tc>
        <w:tc>
          <w:tcPr>
            <w:tcW w:type="dxa" w:w="5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Ingeniería en Informática, Duoc UC</w:t>
            </w:r>
          </w:p>
        </w:tc>
      </w:tr>
      <w:tr>
        <w:trPr>
          <w:cantSplit/>
        </w:trPr>
        <w:tc>
          <w:tcPr>
            <w:tcW w:type="dxa" w:w="42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Sede</w:t>
            </w:r>
          </w:p>
        </w:tc>
        <w:tc>
          <w:tcPr>
            <w:tcW w:type="dxa" w:w="5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Melipilla</w:t>
            </w:r>
          </w:p>
        </w:tc>
      </w:tr>
      <w:tr>
        <w:trPr>
          <w:cantSplit/>
        </w:trPr>
        <w:tc>
          <w:tcPr>
            <w:tcW w:type="dxa" w:w="42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Asignatura</w:t>
            </w:r>
          </w:p>
        </w:tc>
        <w:tc>
          <w:tcPr>
            <w:tcW w:type="dxa" w:w="5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Portafolio de Título o Capstone, según pauta</w:t>
            </w:r>
          </w:p>
        </w:tc>
      </w:tr>
      <w:tr>
        <w:trPr>
          <w:cantSplit/>
        </w:trPr>
        <w:tc>
          <w:tcPr>
            <w:tcW w:type="dxa" w:w="42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Docente guía registrado</w:t>
            </w:r>
          </w:p>
        </w:tc>
        <w:tc>
          <w:tcPr>
            <w:tcW w:type="dxa" w:w="5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Carlos Quintanilla</w:t>
            </w:r>
          </w:p>
        </w:tc>
      </w:tr>
    </w:tbl>
    <w:p>
      <w:pPr>
        <w:spacing w:after="0"/>
      </w:pPr>
    </w:p>
    <w:p>
      <w:pPr>
        <w:pStyle w:val="Heading1"/>
      </w:pPr>
      <w:r>
        <w:t>2 Resumen</w:t>
      </w:r>
    </w:p>
    <w:p>
      <w:r>
        <w:t>AFRISAN requiere identificar cada cilindro de refrigerante y conservar su trazabilidad entre Bodega, el Técnico asignado y la sucursal del cliente. El proyecto propone una solución en .NET 8 con interfaz Blazor WebAssembly, una API ASP.NET Core y persistencia PostgreSQL/Supabase prevista. El proceso vigente contempla el reemplazo físico de cilindros: el Técnico registra el retiro con peso y fotografía, documenta el reemplazo y sus pesajes, y presenta el trabajo a la aprobación de Bodega antes de la revisión final del Autorizador. Dante Moya es el único estudiante responsable de la continuidad actual. Existe un prototipo en memoria y evidencia sintética del flujo. El almacenamiento durable, la gestión de identidades reales, la validación sin conexión y la integración de Power BI permanecen pendientes. Este informe actualiza la definición y la factibilidad del proyecto, distinguiendo los beneficios esperados, el comportamiento implementado y los resultados validados. [6] [7]</w:t>
      </w:r>
    </w:p>
    <w:p>
      <w:pPr>
        <w:pStyle w:val="Heading1"/>
      </w:pPr>
      <w:r>
        <w:t>3 Antecedentes y descripción del proyecto</w:t>
      </w:r>
    </w:p>
    <w:p>
      <w:r>
        <w:t>El proyecto corresponde a Ingeniería en Informática de Duoc UC, sede Melipilla, en el contexto de Portafolio de Título o Capstone. La organización contraparte es Accesorios Frigoríficos Santiago Limitada, AFRISAN. Sus antecedentes describen operaciones de refrigeración en sucursales de clientes y necesidad de control unitario de envases. [3] [5]</w:t>
      </w:r>
    </w:p>
    <w:p>
      <w:r>
        <w:t>La plataforma relaciona refrigerantes, cilindros, solicitudes, OT, Técnico asignado, movimientos, fotografías y revisiones. El alcance nuevo parte por inventario y custodia física. No se presupone que cada reemplazo sea una recarga del equipo ni se deducen emisiones de la mera instalación de un cilindro.</w:t>
      </w:r>
    </w:p>
    <w:p>
      <w:pPr>
        <w:pStyle w:val="Heading1"/>
      </w:pPr>
      <w:r>
        <w:t>4 Relevancia profesional y valor esperado</w:t>
      </w:r>
    </w:p>
    <w:p>
      <w:r>
        <w:t>Para la Ingeniería en Informática, el problema requiere traducir un proceso material en datos y reglas verificables. Una misma orden contiene envases con destinos diferentes; por eso, un conteo de salidas y retornos sin identidad no representa correctamente la operación. El valor esperado es reducir incertidumbre sobre ubicación, custodia y respaldo de los pesajes. [5] [6]</w:t>
      </w:r>
    </w:p>
    <w:p>
      <w:r>
        <w:t>Los usuarios principales son Bodega, Técnico, Autorizador y Jefatura. La separación de responsabilidades permite conocer quién ejecutó cada hecho y quién lo revisó. La centralización futura de datos facilitará auditoría y análisis. No se atribuye todavía una reducción cuantificada de pérdidas ni un beneficio ambiental medido al prototipo.</w:t>
      </w:r>
    </w:p>
    <w:p>
      <w:pPr>
        <w:pStyle w:val="Heading1"/>
      </w:pPr>
      <w:r>
        <w:t>5 Competencias y áreas de desempeño</w:t>
      </w:r>
    </w:p>
    <w:p>
      <w:r>
        <w:t>Las denominaciones de esta tabla se conservan del informe original de Fase 1. La pauta de Fase 2 desarrolla competencias de gestión, datos, software y pruebas con su propia redacción; no se asignan códigos ni se certifica aquí una equivalencia curricular. [1] [3] [12]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Competencia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Aplicación al proyecto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Producto o comprobación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Ofrecer propuestas de solución informática analizando integralmente los procesos de la organización.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Distinguir reemplazo, agregado, custodia y recepción; registrar cambios respecto del flujo anterior.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Acta, reglas y HU con criterios revisados.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Gestionar proyectos informáticos ofreciendo alternativas para la toma de decisiones.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Replanificar con un único responsable y capacidad declarada; controlar bloqueos y dependencias.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Plan de trabajo, Gantt y seguimiento por estados.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Construir modelos de datos escalables de acuerdo con los requerimientos de la organización.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Modelar identidad unitaria, pesajes independientes y revisiones; preservar historial.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Modelo SQL del contexto actual y resultados de validación local.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Desarrollar e integrar una solución de software de forma sistemática.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Separar interfaz, contratos y API; implementar reglas en servidor además de interfaz.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Solución nueva y recorridos HTTP/navegador documentados.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Realizar pruebas de validación de productos y procesos utilizando buenas prácticas.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Diseñar casos positivos y negativos, registrar evidencia y límites, repetir tras integrar persistencia.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Guiones y resultados; pruebas de aceptación de usuarios y revisión de seguridad pendientes.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Transformar datos para apoyar la toma de decisiones.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Definir indicadores clave de desempeño con población, unidad y período; separar masa trasladada y emitida.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Diseño de analítica; conexión y tablero Power BI pendientes.</w:t>
            </w:r>
          </w:p>
        </w:tc>
      </w:tr>
    </w:tbl>
    <w:p>
      <w:pPr>
        <w:spacing w:after="0"/>
      </w:pPr>
    </w:p>
    <w:p>
      <w:pPr>
        <w:pStyle w:val="Heading1"/>
      </w:pPr>
      <w:r>
        <w:t>6 Intereses profesionales</w:t>
      </w:r>
    </w:p>
    <w:p>
      <w:r>
        <w:t>La propuesta mantiene los intereses ya expresados en la definición inicial: desarrollo de software, bases de datos, automatización de procesos, ciberseguridad y análisis de información. El proyecto permite relacionarlos en un caso operativo, desde el levantamiento de una regla hasta su implementación y su evidencia. [1]</w:t>
      </w:r>
    </w:p>
    <w:p>
      <w:r>
        <w:t>El desarrollo de una API con validación por rol se vincula con seguridad y construcción de sistemas. El modelo de custodia fortalece el diseño de datos y la integridad. La preparación de información para Power BI conecta la operación con el análisis para decisiones. Estas relaciones describen oportunidades de aprendizaje; no certifican competencias evaluadas ni resultados profesionales posteriores.</w:t>
      </w:r>
    </w:p>
    <w:p>
      <w:pPr>
        <w:pStyle w:val="Heading1"/>
      </w:pPr>
      <w:r>
        <w:t>7 Objetivos</w:t>
      </w:r>
    </w:p>
    <w:p>
      <w:r>
        <w:t>El objetivo general es diseñar e implementar una solución que centralice inventario, custodia y auditoría de refrigerantes y cilindros de AFRISAN. Sus objetivos específicos son levantar requisitos, mantener identificación unitaria, soportar OT y reemplazos físicos, preservar pesajes y fotografías, restringir acceso por rol, integrar persistencia y preparar indicadores válidos. [3] [5]</w:t>
      </w:r>
    </w:p>
    <w:p>
      <w:r>
        <w:t>Los 10 RF, 7 RNF y 10 HU se conservan en el acta y lista de trabajo actualizados. Las metas originales de rendimiento, sin conexión, calidad, pruebas de aceptación de usuarios y manuales continúan como referencias para revisión y aceptación. No se presume su cumplimiento por la existencia de pantallas o scripts.</w:t>
      </w:r>
    </w:p>
    <w:p>
      <w:pPr>
        <w:pStyle w:val="Heading1"/>
      </w:pPr>
      <w:r>
        <w:t>8 Metodología y etapas</w:t>
      </w:r>
    </w:p>
    <w:p>
      <w:r>
        <w:t>Se mantiene el enfoque mixto: definición y análisis inicial con documentación de requisitos, seguido de construcción incremental y validación. Para la continuidad individual se emplean tareas priorizadas, registro de decisiones y revisión del incremento; no se presentan ceremonias Scrum de varias personas como si hubiesen ocurrido. [1] [6]</w:t>
      </w:r>
    </w:p>
    <w:p>
      <w:r>
        <w:t>La secuencia actual es comprender el negocio, actualizar reglas y criterios, alinear modelo, implementar un recorrido, ejecutar casos y corregir. La validación con usuarios y la conformidad de la contraparte se registrarán por separado. Las aprobaciones históricas no se reutilizan como aprobación automática del rediseño.</w:t>
      </w:r>
    </w:p>
    <w:p>
      <w:pPr>
        <w:pStyle w:val="ListBullet"/>
      </w:pPr>
      <w:r>
        <w:t>Fase 1, propuesta S1-S6: definición del problema, pertinencia, alcance, objetivos, arquitectura y planificación.</w:t>
      </w:r>
    </w:p>
    <w:p>
      <w:pPr>
        <w:pStyle w:val="ListBullet"/>
        <w:keepNext/>
      </w:pPr>
      <w:r>
        <w:t>Fase 2, propuesta S7-S16: desarrollo, persistencia, integración, pruebas y correcciones; la existencia de un prototipo no acredita el cumplimiento de todas estas actividades.</w:t>
      </w:r>
    </w:p>
    <w:p>
      <w:pPr>
        <w:pStyle w:val="ListBullet"/>
      </w:pPr>
      <w:r>
        <w:t>Fase 3, propuesta S17-S18: presentación, transferencia y cierre condicionado a resultados y conformidad; la fecha de defensa no se encuentra fijada en esta distribución.</w:t>
      </w:r>
    </w:p>
    <w:p>
      <w:pPr>
        <w:pStyle w:val="Heading1"/>
      </w:pPr>
      <w:r>
        <w:t>9 Factibilidad y recursos</w:t>
      </w:r>
    </w:p>
    <w:p>
      <w:r>
        <w:t>La factibilidad del núcleo se apoya en una solución nueva existente en .NET 8, herramientas de desarrollo disponibles y reglas de flujo ya documentadas. La capacidad actual informada es de tres horas diarias para Dante. El plan requiere priorizar el flujo integral y la persistencia antes de ampliar integraciones. [7] [10] [11]</w:t>
      </w:r>
    </w:p>
    <w:p>
      <w:r>
        <w:t>Se requieren computador de desarrollo, acceso a Internet, herramientas .NET, PostgreSQL/Supabase, documentación y modelado, dispositivos con cámara y participación de usuarios para pruebas. Las capas gratuitas o educativas son una restricción de presupuesto de referencia; no garantizan disponibilidad ni costos futuros.</w:t>
      </w:r>
    </w:p>
    <w:p>
      <w:r>
        <w:t>Las dependencias externas son la confirmación de reglas por AFRISAN, el acceso a datos de prueba del ERP, la participación de usuarios y la adaptación individual de la evaluación. La equivalencia de semanas se calcula a partir de la referencia informada por el estudiante; las fechas oficiales de entrega y defensa y los límites de cada fase requieren acuerdo docente. El alcance histórico debe contrastarse con la capacidad individual.</w:t>
      </w:r>
    </w:p>
    <w:p>
      <w:pPr>
        <w:pStyle w:val="Heading1"/>
      </w:pPr>
      <w:r>
        <w:t>10 Plan de trabajo y evidencias</w:t>
      </w:r>
    </w:p>
    <w:p>
      <w:r>
        <w:t>La tabla siguiente resume las prioridades del proyecto. El plan completo se presenta en FASE_1/03_Plan_de_Trabajo_e_Hitos_Afrisan_DM.xlsx y conserva los siete campos de la guía: competencia o unidad de competencia, actividad, descripción, recursos, tiempo, responsable y observaciones. El seguimiento de Fase 2 registra aparte el avance y los ajustes. [1]</w:t>
      </w:r>
    </w:p>
    <w:p>
      <w:r>
        <w:t>La referencia de calendario informada por el estudiante el 28 de octubre de 2026 sitúa esa fecha en la semana 12 y establece semanas de jueves a miércoles. De ello se calcula la semana 1 desde el 6 de agosto, la semana 12 del 22 al 28 de octubre y la semana 18 del 3 al 9 de diciembre de 2026. La distribución de Fase 1 en S1-S6, Fase 2 en S7-S16 y Fase 3 en S17-S18 es una propuesta de organización; no acredita fechas oficiales de entrega o defensa. El cálculo supone semanas consecutivas, sin ajustes por recesos o recuperaciones.</w:t>
      </w:r>
    </w:p>
    <w:p>
      <w:r>
        <w:t>El incremento futuro G01 a G09 comprende 22 sesiones de tres horas, equivalentes a 66 horas estimadas. Las sesiones no son necesariamente días consecutivos y no incluyen espera de respuestas, defectos nuevos ni ampliaciones de alcance. H-SQL y H-LOCAL conservan duraciones históricas de referencia, separadas de estas 66 horas y de las horas efectivamente trabajadas, que no se encuentran registradas.</w:t>
      </w:r>
    </w:p>
    <w:p>
      <w:r>
        <w:t>Los registros del paquete son FASE_1/03_Plan_de_Trabajo_e_Hitos_Afrisan_DM.xlsx (plan de siete columnas), FASE_1/04_Carta_Gantt_Afrisan_DM.xlsx (distribución académica y sesiones) y FASE_2/01_Plan_de_Trabajo_y_Backlog_Fase_2_Afrisan_DM.xlsx (seguimiento de ocho columnas). La evidencia y los pendientes se consolidan en FASE_2/05_Evidencias_y_Pendientes_Afrisan_DM.xlsx.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1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Etapa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Actividad prioritaria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Evidencia prevista</w:t>
            </w:r>
          </w:p>
        </w:tc>
        <w:tc>
          <w:tcPr>
            <w:tcW w:type="dxa" w:w="1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Responsable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Definición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Actualizar requisitos y criterios al reemplazo físico.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Acta, Lista priorizada de requisitos, entrevista y matriz RACI.</w:t>
            </w:r>
          </w:p>
        </w:tc>
        <w:tc>
          <w:tcPr>
            <w:tcW w:type="dxa" w:w="1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Núcleo funcional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Mantener el orden Técnico, Bodega y Autorizador.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Código y resultados de recorridos del 25 de octubre.</w:t>
            </w:r>
          </w:p>
        </w:tc>
        <w:tc>
          <w:tcPr>
            <w:tcW w:type="dxa" w:w="1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Datos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Integrar modelo y fotos durables con la API.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Consultas y repetición del recorrido tras reinicio.</w:t>
            </w:r>
          </w:p>
        </w:tc>
        <w:tc>
          <w:tcPr>
            <w:tcW w:type="dxa" w:w="1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Calidad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Validar identidad, dispositivos, red, reintentos y concurrencia.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Casos con resultado esperado/observado y pruebas de aceptación de usuarios.</w:t>
            </w:r>
          </w:p>
        </w:tc>
        <w:tc>
          <w:tcPr>
            <w:tcW w:type="dxa" w:w="1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Dante; usuarios validan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Analítica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Definir límites, costos, emisiones e indicadores.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Reglas aceptadas y Power BI contrastado.</w:t>
            </w:r>
          </w:p>
        </w:tc>
        <w:tc>
          <w:tcPr>
            <w:tcW w:type="dxa" w:w="1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Dante; contraparte valida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Transferencia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Preparar manuales y cierre con resultados.</w:t>
            </w:r>
          </w:p>
        </w:tc>
        <w:tc>
          <w:tcPr>
            <w:tcW w:type="dxa" w:w="31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Documentos de uso, despliegue y conformidad.</w:t>
            </w:r>
          </w:p>
        </w:tc>
        <w:tc>
          <w:tcPr>
            <w:tcW w:type="dxa" w:w="1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</w:t>
            </w:r>
          </w:p>
        </w:tc>
      </w:tr>
    </w:tbl>
    <w:p>
      <w:pPr>
        <w:spacing w:after="0"/>
      </w:pPr>
    </w:p>
    <w:p>
      <w:pPr>
        <w:pStyle w:val="Heading1"/>
      </w:pPr>
      <w:r>
        <w:t>11 Estado observado y límites</w:t>
      </w:r>
    </w:p>
    <w:p>
      <w:r>
        <w:t>El recorrido corregido del 25 de octubre aporta evidencia sintética de retiro por el Técnico, reemplazo con fotografías, recepción y aprobación por Bodega, revisión del Autorizador y cierre. El SQL del contexto actual tiene validación local separada. Las comprobaciones de scripts no equivalen a aceptación del cliente, cobertura unitaria ni despliegue. [7] [8]</w:t>
      </w:r>
    </w:p>
    <w:p>
      <w:r>
        <w:t>La API y sus fotografías permanecen en memoria. La existencia de borradores en IndexedDB no acredita operación sin red completa. Persistencia, identidad real, almacenamiento durable, lectura QR/cámara física, concurrencia y Power BI requieren trabajo y evidencia adicional.</w:t>
      </w:r>
    </w:p>
    <w:p>
      <w:pPr>
        <w:pStyle w:val="Heading1"/>
      </w:pPr>
      <w:r>
        <w:t>12 Conclusiones</w:t>
      </w:r>
    </w:p>
    <w:p>
      <w:r>
        <w:t>La aclaración del proceso de reemplazo de cilindros proporciona una base más precisa para el proyecto AFRISAN. La identidad individual de cada cilindro, los registros de pesaje separados y la secuencia de aprobación de Bodega seguida de la revisión del Autorizador son necesarios para conservar la trazabilidad. El prototipo actual demuestra un flujo acotado con datos sintéticos; el almacenamiento durable y la aceptación operativa siguen siendo pasos esenciales por completar. [6] [7]</w:t>
      </w:r>
    </w:p>
    <w:p>
      <w:r>
        <w:t>El proyecto es pertinente para la ingeniería de software porque combina análisis de requisitos, integridad de datos, implementación y validación respaldada por evidencias. Su factibilidad depende de priorizar las tareas según la capacidad individual disponible y acordar el alcance restante y el calendario académico.</w:t>
      </w:r>
    </w:p>
    <w:p>
      <w:pPr>
        <w:pStyle w:val="Heading1"/>
      </w:pPr>
      <w:r>
        <w:t>13 Reflexión individual</w:t>
      </w:r>
    </w:p>
    <w:p>
      <w:r>
        <w:t>Mis intereses profesionales en desarrollo de software, bases de datos, automatización de procesos, ciberseguridad y análisis de datos se relacionan directamente con AFRISAN. El proyecto reúne estas áreas mediante un problema operativo concreto: identificar cada cilindro, registrar su custodia y conservar las evidencias necesarias para revisar un reemplazo físico. Esta relación orienta mi trabajo y las competencias que busco desarrollar. [1]</w:t>
      </w:r>
    </w:p>
    <w:p>
      <w:r>
        <w:t>El contexto de negocio revisado muestra por qué el análisis de requisitos debe preceder a las suposiciones sobre la implementación. Un cilindro instalado puede permanecer en una sucursal mientras otro distinto regresa a Bodega; tratarlos como si fueran el mismo elemento produciría registros incorrectos. Los pesajes independientes y la secuencia de aprobación de Bodega seguida de la revisión del Autorizador proporcionan criterios concretos para modelar y probar el proceso. [6]</w:t>
      </w:r>
    </w:p>
    <w:p>
      <w:r>
        <w:t>Mi continuidad individual requiere una planificación realista basada en la disponibilidad documentada de tres horas diarias. Por ello, concentro el trabajo restante en las dependencias que permiten construir un sistema confiable: datos y fotografías durables, identidades de usuarios reales y pruebas operativas verificables. Se conserva la atribución de los aportes históricos a sus autores y se evalúa la evidencia actual dentro de su alcance efectivo. El resultado de un prototipo aporta evidencia técnica útil; la aceptación operativa requiere una validación específica y registrada. [10] [7] [8]</w:t>
      </w:r>
    </w:p>
    <w:p>
      <w:pPr>
        <w:pStyle w:val="Heading1"/>
      </w:pPr>
      <w:r>
        <w:t>14 Fuentes y antecedentes</w:t>
      </w:r>
    </w:p>
    <w:p>
      <w:pPr>
        <w:keepNext/>
        <w:keepLines/>
      </w:pPr>
      <w:r>
        <w:t>Las citas numéricas del texto remiten a las referencias siguientes. Los antecedentes se conservan en ANEXOS/FUENTES con su estructura y autoría originales; los enlaces abren esas copias. Las fechas de los ensayos corresponden a las ejecuciones guardadas. La revisión documental no incorpora nuevas pruebas de la aplicación. Cuando la fuente no declara una fecha editorial se indica s. f.</w:t>
      </w:r>
    </w:p>
    <w:p>
      <w:pPr>
        <w:keepLines/>
        <w:spacing w:after="120"/>
      </w:pPr>
      <w:r>
        <w:t xml:space="preserve">[1] Duoc UC (guía); Carolina Ávila, Dante Moya y Yarek Larraguibel (contenido completado). (s. f.). Guía del estudiante: Fase 1, Definición del Proyecto APT, completada para AFRISAN [Guía académica con contenido del equipo histórico]. </w:t>
      </w:r>
      <w:hyperlink r:id="rId9">
        <w:r>
          <w:rPr>
            <w:color w:val="24445F"/>
          </w:rPr>
          <w:t>EVIDENCIAS_​GRUPALES/​1.5_​GuiaEstudiante_​Fase 1_​Definicion Proyecto APT (1).docx</w:t>
        </w:r>
      </w:hyperlink>
    </w:p>
    <w:p>
      <w:pPr>
        <w:keepLines/>
        <w:spacing w:after="120"/>
      </w:pPr>
      <w:r>
        <w:t xml:space="preserve">[2] Duoc UC. (s. f.). Evaluación Fase 1: Formativa de definición del Proyecto APT [Pauta académica institucional]. </w:t>
      </w:r>
      <w:hyperlink r:id="rId10">
        <w:r>
          <w:rPr>
            <w:color w:val="24445F"/>
          </w:rPr>
          <w:t>EVIDENCIAS_​GRUPALES/​1.4_​APT122_​FormativaFase1.docx</w:t>
        </w:r>
      </w:hyperlink>
    </w:p>
    <w:p>
      <w:pPr>
        <w:keepLines/>
        <w:spacing w:after="120"/>
      </w:pPr>
      <w:r>
        <w:t xml:space="preserve">[3] Moya, Dante y Larraguibel, Yarek. (s. f.). Fase 1: definición del Proyecto APT AFRISAN, versión corregida [Informe grupal histórico]. </w:t>
      </w:r>
      <w:hyperlink r:id="rId11">
        <w:r>
          <w:rPr>
            <w:color w:val="24445F"/>
          </w:rPr>
          <w:t>EVIDENCIAS_​GRUPALES/​Documentación del Proyecto/​ACTUAL/​05_​Informe_​Fase_​1_​AFRISAN_​Corregido.docx</w:t>
        </w:r>
      </w:hyperlink>
    </w:p>
    <w:p>
      <w:pPr>
        <w:keepLines/>
        <w:spacing w:after="120"/>
      </w:pPr>
      <w:r>
        <w:t xml:space="preserve">[4] Moya, Dante. (2026). Contexto del negocio y acuerdos [Definición de negocio registrada en el proyecto]. </w:t>
      </w:r>
      <w:hyperlink r:id="rId12">
        <w:r>
          <w:rPr>
            <w:color w:val="24445F"/>
          </w:rPr>
          <w:t>AFRISAN_​NUEVO/​01_​NEGOCIO/​00_​CONTEXTO_​Y_​ACUERDOS.md</w:t>
        </w:r>
      </w:hyperlink>
    </w:p>
    <w:p>
      <w:pPr>
        <w:keepLines/>
        <w:spacing w:after="120"/>
      </w:pPr>
      <w:r>
        <w:t xml:space="preserve">[5] Moya, Dante. (2026). OT: definición del negocio proporcionada por Dante [Definición de negocio registrada en el proyecto]. </w:t>
      </w:r>
      <w:hyperlink r:id="rId13">
        <w:r>
          <w:rPr>
            <w:color w:val="24445F"/>
          </w:rPr>
          <w:t>AFRISAN_​NUEVO/​01_​NEGOCIO/​07_​OT_​DEFINICION_​DANTE.md</w:t>
        </w:r>
      </w:hyperlink>
    </w:p>
    <w:p>
      <w:pPr>
        <w:keepLines/>
        <w:spacing w:after="120"/>
      </w:pPr>
      <w:r>
        <w:t xml:space="preserve">[6] Moya, Dante. (2026). Retiro por el técnico, cambio y revisión posterior [Definición de negocio registrada en el proyecto]. </w:t>
      </w:r>
      <w:hyperlink r:id="rId14">
        <w:r>
          <w:rPr>
            <w:color w:val="24445F"/>
          </w:rPr>
          <w:t>AFRISAN_​NUEVO/​01_​NEGOCIO/​12_​FLUJO_​TERRENO_​DESPACHO_​Y_​REVISION.md</w:t>
        </w:r>
      </w:hyperlink>
    </w:p>
    <w:p>
      <w:pPr>
        <w:keepLines/>
        <w:spacing w:after="120"/>
      </w:pPr>
      <w:r>
        <w:t xml:space="preserve">[7] Proyecto AFRISAN. (2026). Flujo de terreno corregido según Dante [Registro de validación técnica]. </w:t>
      </w:r>
      <w:hyperlink r:id="rId15">
        <w:r>
          <w:rPr>
            <w:color w:val="24445F"/>
          </w:rPr>
          <w:t>AFRISAN_​NUEVO/​04_​SEGUIMIENTO/​FLUJO_​TERRENO_​2026_​10_​25/​README.md</w:t>
        </w:r>
      </w:hyperlink>
    </w:p>
    <w:p>
      <w:pPr>
        <w:keepLines/>
        <w:spacing w:after="120"/>
      </w:pPr>
      <w:r>
        <w:t xml:space="preserve">[8] Proyecto AFRISAN. (2026). Validación del SQL del contexto actual [Registro de validación técnica]. </w:t>
      </w:r>
      <w:hyperlink r:id="rId16">
        <w:r>
          <w:rPr>
            <w:color w:val="24445F"/>
          </w:rPr>
          <w:t>AFRISAN_​NUEVO/​04_​SEGUIMIENTO/​VALIDACION_​SQL_​CONTEXTO_​2026_​10_​25/​README.md</w:t>
        </w:r>
      </w:hyperlink>
    </w:p>
    <w:p>
      <w:pPr>
        <w:keepLines/>
        <w:spacing w:after="120"/>
      </w:pPr>
      <w:r>
        <w:t xml:space="preserve">[9] Proyecto AFRISAN. (s. f.). AFRISAN-APT: índice y orientación del repositorio [Índice documental del proyecto]. </w:t>
      </w:r>
      <w:hyperlink r:id="rId17">
        <w:r>
          <w:rPr>
            <w:color w:val="24445F"/>
          </w:rPr>
          <w:t>README.md</w:t>
        </w:r>
      </w:hyperlink>
    </w:p>
    <w:p>
      <w:pPr>
        <w:keepLines/>
        <w:spacing w:after="120"/>
      </w:pPr>
      <w:r>
        <w:t xml:space="preserve">[10] Moya, Dante. (2026). Plan de trabajo de ocho columnas para Fase 2, actualizado al 22 de octubre de 2026 [Plan de trabajo individual]. </w:t>
      </w:r>
      <w:hyperlink r:id="rId18">
        <w:r>
          <w:rPr>
            <w:color w:val="24445F"/>
          </w:rPr>
          <w:t>EVIDENCIAS_​GRUPALES/​EVA_​2/​01_​PLAN_​DE_​TRABAJO_​8_​COLUMNAS_​FASE_​2.md</w:t>
        </w:r>
      </w:hyperlink>
    </w:p>
    <w:p>
      <w:pPr>
        <w:keepLines/>
        <w:spacing w:after="120"/>
      </w:pPr>
      <w:r>
        <w:t xml:space="preserve">[11] Proyecto AFRISAN. (2026). AFRISAN nuevo: primera entrega de inventario [Documentación técnica del proyecto]. </w:t>
      </w:r>
      <w:hyperlink r:id="rId19">
        <w:r>
          <w:rPr>
            <w:color w:val="24445F"/>
          </w:rPr>
          <w:t>AFRISAN_​NUEVO/​03_​CODIGO/​README.md</w:t>
        </w:r>
      </w:hyperlink>
    </w:p>
    <w:p>
      <w:pPr>
        <w:keepLines/>
        <w:spacing w:after="120"/>
      </w:pPr>
      <w:r>
        <w:t xml:space="preserve">[12] Duoc UC. (s. f.). Evaluación Fase 2: Informe de avance del Proyecto APT [Pauta académica institucional]. </w:t>
      </w:r>
      <w:hyperlink r:id="rId20">
        <w:r>
          <w:rPr>
            <w:color w:val="24445F"/>
          </w:rPr>
          <w:t>2.5_​APT122_​Sumativa Avance Fase2.pdf</w:t>
        </w:r>
      </w:hyperlink>
    </w:p>
    <w:p>
      <w:pPr>
        <w:keepLines/>
        <w:spacing w:after="120"/>
      </w:pPr>
      <w:r>
        <w:t xml:space="preserve">[13] Proyecto AFRISAN. (s. f.). Servicio de trabajo local de la aplicación web [Archivo de código fuente]. </w:t>
      </w:r>
      <w:hyperlink r:id="rId21">
        <w:r>
          <w:rPr>
            <w:color w:val="24445F"/>
          </w:rPr>
          <w:t>AFRISAN_​NUEVO/​03_​CODIGO/​Afrisan.Nuevo.Web/​Services/​TrabajoLocalService.cs</w:t>
        </w:r>
      </w:hyperlink>
    </w:p>
    <w:sectPr w:rsidR="00FC693F" w:rsidRPr="0006063C" w:rsidSect="00034616">
      <w:footerReference w:type="default" r:id="rId22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AFRISAN DM · Página </w:t>
    </w:r>
    <w:fldSimple w:instr="PAGE"/>
    <w:r>
      <w:rPr>
        <w:sz w:val="18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2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2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NEXOS/FUENTES/EVIDENCIAS_GRUPALES/1.5_GuiaEstudiante_Fase%201_Definicion%20Proyecto%20APT%20%281%29.docx" TargetMode="External"/><Relationship Id="rId10" Type="http://schemas.openxmlformats.org/officeDocument/2006/relationships/hyperlink" Target="../ANEXOS/FUENTES/EVIDENCIAS_GRUPALES/1.4_APT122_FormativaFase1.docx" TargetMode="External"/><Relationship Id="rId11" Type="http://schemas.openxmlformats.org/officeDocument/2006/relationships/hyperlink" Target="../ANEXOS/FUENTES/EVIDENCIAS_GRUPALES/Documentaci%C3%B3n%20del%20Proyecto/ACTUAL/05_Informe_Fase_1_AFRISAN_Corregido.docx" TargetMode="External"/><Relationship Id="rId12" Type="http://schemas.openxmlformats.org/officeDocument/2006/relationships/hyperlink" Target="../ANEXOS/FUENTES/AFRISAN_NUEVO/01_NEGOCIO/00_CONTEXTO_Y_ACUERDOS.md" TargetMode="External"/><Relationship Id="rId13" Type="http://schemas.openxmlformats.org/officeDocument/2006/relationships/hyperlink" Target="../ANEXOS/FUENTES/AFRISAN_NUEVO/01_NEGOCIO/07_OT_DEFINICION_DANTE.md" TargetMode="External"/><Relationship Id="rId14" Type="http://schemas.openxmlformats.org/officeDocument/2006/relationships/hyperlink" Target="../ANEXOS/FUENTES/AFRISAN_NUEVO/01_NEGOCIO/12_FLUJO_TERRENO_DESPACHO_Y_REVISION.md" TargetMode="External"/><Relationship Id="rId15" Type="http://schemas.openxmlformats.org/officeDocument/2006/relationships/hyperlink" Target="../ANEXOS/FUENTES/AFRISAN_NUEVO/04_SEGUIMIENTO/FLUJO_TERRENO_2026_10_25/README.md" TargetMode="External"/><Relationship Id="rId16" Type="http://schemas.openxmlformats.org/officeDocument/2006/relationships/hyperlink" Target="../ANEXOS/FUENTES/AFRISAN_NUEVO/04_SEGUIMIENTO/VALIDACION_SQL_CONTEXTO_2026_10_25/README.md" TargetMode="External"/><Relationship Id="rId17" Type="http://schemas.openxmlformats.org/officeDocument/2006/relationships/hyperlink" Target="../ANEXOS/FUENTES/README.md" TargetMode="External"/><Relationship Id="rId18" Type="http://schemas.openxmlformats.org/officeDocument/2006/relationships/hyperlink" Target="../ANEXOS/FUENTES/EVIDENCIAS_GRUPALES/EVA_2/01_PLAN_DE_TRABAJO_8_COLUMNAS_FASE_2.md" TargetMode="External"/><Relationship Id="rId19" Type="http://schemas.openxmlformats.org/officeDocument/2006/relationships/hyperlink" Target="../ANEXOS/FUENTES/AFRISAN_NUEVO/03_CODIGO/README.md" TargetMode="External"/><Relationship Id="rId20" Type="http://schemas.openxmlformats.org/officeDocument/2006/relationships/hyperlink" Target="../ANEXOS/FUENTES/2.5_APT122_Sumativa%20Avance%20Fase2.pdf" TargetMode="External"/><Relationship Id="rId21" Type="http://schemas.openxmlformats.org/officeDocument/2006/relationships/hyperlink" Target="../ANEXOS/FUENTES/AFRISAN_NUEVO/03_CODIGO/Afrisan.Nuevo.Web/Services/TrabajoLocalService.cs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del proyecto AFRISAN</dc:title>
  <dc:subject>Nuevo AFRISAN · Documentación APT en español · Revisión 29/10/2026</dc:subject>
  <dc:creator>Dante Moya</dc:creator>
  <cp:keywords/>
  <dc:description>Actualización documental con conservación de antecedentes y autoría histórica.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