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de comunicación del nuevo AFRISAN</w:t>
      </w:r>
    </w:p>
    <w:p>
      <w:pPr>
        <w:pStyle w:val="Subtitle"/>
      </w:pPr>
      <w:r>
        <w:t>Responsabilidad individual y validación de negocio  29 de octubre de 2026</w:t>
      </w:r>
    </w:p>
    <w:p>
      <w:r>
        <w:t>Responsable actual Dante Moya · Versión documental en español del 29 de octubre de 2026</w:t>
      </w:r>
    </w:p>
    <w:p>
      <w:pPr>
        <w:pStyle w:val="Heading1"/>
      </w:pPr>
      <w:r>
        <w:t>1 Propósito</w:t>
      </w:r>
    </w:p>
    <w:p>
      <w:r>
        <w:t>Este plan define cómo Dante Moya mantendrá informados a la contraparte y al docente, registrará decisiones y solicitará validación de los cambios. Las comunicaciones se centran en evidencias concretas, problemas y decisiones; no se presupone que reuniones, envíos o aprobaciones ya hayan ocurrido. [1] [2]</w:t>
      </w:r>
    </w:p>
    <w:p>
      <w:r>
        <w:t>Dante es el único integrante actual. Los antecedentes de coordinación entre varios estudiantes se conservan como históricos y no representan recursos disponibles para la planificación presente.</w:t>
      </w:r>
    </w:p>
    <w:p>
      <w:pPr>
        <w:pStyle w:val="Heading1"/>
      </w:pPr>
      <w:r>
        <w:t>2 Interesados y necesidades</w:t>
      </w:r>
    </w:p>
    <w:p>
      <w:r>
        <w:t>Los antecedentes y criterios de esta tabla se apoyan en las fuentes [1], [2]. La asignación y el estado de la versión actual corresponden al corte documental del 28 de octubre de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75"/>
        <w:gridCol w:w="3175"/>
        <w:gridCol w:w="3175"/>
      </w:tblGrid>
      <w:tr>
        <w:trPr>
          <w:tblHeader/>
        </w:trPr>
        <w:tc>
          <w:tcPr>
            <w:tcW w:type="dxa" w:w="2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445F"/>
          </w:tcPr>
          <w:p>
            <w:pPr>
              <w:keepNext/>
              <w:spacing w:before="40" w:after="60" w:line="240" w:lineRule="auto"/>
            </w:pPr>
            <w:r>
              <w:rPr>
                <w:b/>
                <w:color w:val="FFFFFF"/>
                <w:sz w:val="22"/>
              </w:rPr>
              <w:t>Interesado</w:t>
            </w:r>
          </w:p>
        </w:tc>
        <w:tc>
          <w:tcPr>
            <w:tcW w:type="dxa" w:w="365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445F"/>
          </w:tcPr>
          <w:p>
            <w:pPr>
              <w:keepNext/>
              <w:spacing w:before="40" w:after="60" w:line="240" w:lineRule="auto"/>
            </w:pPr>
            <w:r>
              <w:rPr>
                <w:b/>
                <w:color w:val="FFFFFF"/>
                <w:sz w:val="22"/>
              </w:rPr>
              <w:t>Responsabilidad registrada</w:t>
            </w:r>
          </w:p>
        </w:tc>
        <w:tc>
          <w:tcPr>
            <w:tcW w:type="dxa" w:w="365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445F"/>
          </w:tcPr>
          <w:p>
            <w:pPr>
              <w:keepNext/>
              <w:spacing w:before="40" w:after="60" w:line="240" w:lineRule="auto"/>
            </w:pPr>
            <w:r>
              <w:rPr>
                <w:b/>
                <w:color w:val="FFFFFF"/>
                <w:sz w:val="22"/>
              </w:rPr>
              <w:t>Información necesaria</w:t>
            </w:r>
          </w:p>
        </w:tc>
      </w:tr>
      <w:tr>
        <w:trPr>
          <w:cantSplit/>
        </w:trPr>
        <w:tc>
          <w:tcPr>
            <w:tcW w:type="dxa" w:w="2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Dante Moya</w:t>
            </w:r>
          </w:p>
        </w:tc>
        <w:tc>
          <w:tcPr>
            <w:tcW w:type="dxa" w:w="365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Responsable actual de desarrollo y continuidad.</w:t>
            </w:r>
          </w:p>
        </w:tc>
        <w:tc>
          <w:tcPr>
            <w:tcW w:type="dxa" w:w="365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Tareas, evidencia, bloqueos, decisiones y próximos pasos.</w:t>
            </w:r>
          </w:p>
        </w:tc>
      </w:tr>
      <w:tr>
        <w:trPr>
          <w:cantSplit/>
        </w:trPr>
        <w:tc>
          <w:tcPr>
            <w:tcW w:type="dxa" w:w="2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Carlos Aguilera</w:t>
            </w:r>
          </w:p>
        </w:tc>
        <w:tc>
          <w:tcPr>
            <w:tcW w:type="dxa" w:w="365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Contraparte AFRISAN registrada.</w:t>
            </w:r>
          </w:p>
        </w:tc>
        <w:tc>
          <w:tcPr>
            <w:tcW w:type="dxa" w:w="365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Flujo físico, criterios de negocio, diferencias y aceptación de entregables.</w:t>
            </w:r>
          </w:p>
        </w:tc>
      </w:tr>
      <w:tr>
        <w:trPr>
          <w:cantSplit/>
        </w:trPr>
        <w:tc>
          <w:tcPr>
            <w:tcW w:type="dxa" w:w="2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Carlos Quintanilla</w:t>
            </w:r>
          </w:p>
        </w:tc>
        <w:tc>
          <w:tcPr>
            <w:tcW w:type="dxa" w:w="365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Docente guía registrado.</w:t>
            </w:r>
          </w:p>
        </w:tc>
        <w:tc>
          <w:tcPr>
            <w:tcW w:type="dxa" w:w="365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Correspondencia con pautas, alcance del avance, adaptación individual y calendario.</w:t>
            </w:r>
          </w:p>
        </w:tc>
      </w:tr>
      <w:tr>
        <w:trPr>
          <w:cantSplit/>
        </w:trPr>
        <w:tc>
          <w:tcPr>
            <w:tcW w:type="dxa" w:w="2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keepNext/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Usuarios de Bodega y Técnico</w:t>
            </w:r>
          </w:p>
        </w:tc>
        <w:tc>
          <w:tcPr>
            <w:tcW w:type="dxa" w:w="365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keepNext/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Validadores operativos por coordinar.</w:t>
            </w:r>
          </w:p>
        </w:tc>
        <w:tc>
          <w:tcPr>
            <w:tcW w:type="dxa" w:w="365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keepNext/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Tareas de prueba, criterios esperados, uso de evidencia y observaciones.</w:t>
            </w:r>
          </w:p>
        </w:tc>
      </w:tr>
      <w:tr>
        <w:trPr>
          <w:cantSplit/>
        </w:trPr>
        <w:tc>
          <w:tcPr>
            <w:tcW w:type="dxa" w:w="2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Autorizador y Jefatura</w:t>
            </w:r>
          </w:p>
        </w:tc>
        <w:tc>
          <w:tcPr>
            <w:tcW w:type="dxa" w:w="365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Roles de negocio del sistema; personas a confirmar para validación.</w:t>
            </w:r>
          </w:p>
        </w:tc>
        <w:tc>
          <w:tcPr>
            <w:tcW w:type="dxa" w:w="365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Autorizaciones, revisiones, límites, excesos y excepciones.</w:t>
            </w:r>
          </w:p>
        </w:tc>
      </w:tr>
    </w:tbl>
    <w:p>
      <w:pPr>
        <w:spacing w:after="0"/>
      </w:pPr>
    </w:p>
    <w:p>
      <w:pPr>
        <w:pStyle w:val="Heading1"/>
      </w:pPr>
      <w:r>
        <w:t>3 Comunicaciones planificadas</w:t>
      </w:r>
    </w:p>
    <w:p>
      <w:r>
        <w:t>Los antecedentes y criterios de esta tabla se apoyan en las fuentes [1]. La asignación y el estado de la versión actual corresponden al corte documental del 28 de octubre de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2381"/>
        <w:gridCol w:w="2381"/>
        <w:gridCol w:w="2381"/>
      </w:tblGrid>
      <w:tr>
        <w:trPr>
          <w:tblHeader/>
        </w:trPr>
        <w:tc>
          <w:tcPr>
            <w:tcW w:type="dxa" w:w="18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445F"/>
          </w:tcPr>
          <w:p>
            <w:pPr>
              <w:keepNext/>
              <w:spacing w:before="40" w:after="60" w:line="240" w:lineRule="auto"/>
            </w:pPr>
            <w:r>
              <w:rPr>
                <w:b/>
                <w:color w:val="FFFFFF"/>
                <w:sz w:val="22"/>
              </w:rPr>
              <w:t>Comunicación</w:t>
            </w:r>
          </w:p>
        </w:tc>
        <w:tc>
          <w:tcPr>
            <w:tcW w:type="dxa" w:w="23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445F"/>
          </w:tcPr>
          <w:p>
            <w:pPr>
              <w:keepNext/>
              <w:spacing w:before="40" w:after="60" w:line="240" w:lineRule="auto"/>
            </w:pPr>
            <w:r>
              <w:rPr>
                <w:b/>
                <w:color w:val="FFFFFF"/>
                <w:sz w:val="22"/>
              </w:rPr>
              <w:t>Emisor y destinatario</w:t>
            </w:r>
          </w:p>
        </w:tc>
        <w:tc>
          <w:tcPr>
            <w:tcW w:type="dxa" w:w="267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445F"/>
          </w:tcPr>
          <w:p>
            <w:pPr>
              <w:keepNext/>
              <w:spacing w:before="40" w:after="60" w:line="240" w:lineRule="auto"/>
            </w:pPr>
            <w:r>
              <w:rPr>
                <w:b/>
                <w:color w:val="FFFFFF"/>
                <w:sz w:val="22"/>
              </w:rPr>
              <w:t>Oportunidad</w:t>
            </w:r>
          </w:p>
        </w:tc>
        <w:tc>
          <w:tcPr>
            <w:tcW w:type="dxa" w:w="267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445F"/>
          </w:tcPr>
          <w:p>
            <w:pPr>
              <w:keepNext/>
              <w:spacing w:before="40" w:after="60" w:line="240" w:lineRule="auto"/>
            </w:pPr>
            <w:r>
              <w:rPr>
                <w:b/>
                <w:color w:val="FFFFFF"/>
                <w:sz w:val="22"/>
              </w:rPr>
              <w:t>Registro</w:t>
            </w:r>
          </w:p>
        </w:tc>
      </w:tr>
      <w:tr>
        <w:trPr>
          <w:cantSplit/>
        </w:trPr>
        <w:tc>
          <w:tcPr>
            <w:tcW w:type="dxa" w:w="18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Seguimiento individual</w:t>
            </w:r>
          </w:p>
        </w:tc>
        <w:tc>
          <w:tcPr>
            <w:tcW w:type="dxa" w:w="23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Dante</w:t>
            </w:r>
          </w:p>
        </w:tc>
        <w:tc>
          <w:tcPr>
            <w:tcW w:type="dxa" w:w="267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Al terminar cada bloque de trabajo y revisión semanal.</w:t>
            </w:r>
          </w:p>
        </w:tc>
        <w:tc>
          <w:tcPr>
            <w:tcW w:type="dxa" w:w="267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Tarea, estado, resultado y enlace a evidencia.</w:t>
            </w:r>
          </w:p>
        </w:tc>
      </w:tr>
      <w:tr>
        <w:trPr>
          <w:cantSplit/>
        </w:trPr>
        <w:tc>
          <w:tcPr>
            <w:tcW w:type="dxa" w:w="18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Validación de proceso</w:t>
            </w:r>
          </w:p>
        </w:tc>
        <w:tc>
          <w:tcPr>
            <w:tcW w:type="dxa" w:w="23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Dante con Carlos Aguilera y usuarios pertinentes</w:t>
            </w:r>
          </w:p>
        </w:tc>
        <w:tc>
          <w:tcPr>
            <w:tcW w:type="dxa" w:w="267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Antes de implementar una regla aún ambigua o al revisar un incremento.</w:t>
            </w:r>
          </w:p>
        </w:tc>
        <w:tc>
          <w:tcPr>
            <w:tcW w:type="dxa" w:w="267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Preguntas, respuesta, responsable, fecha y criterio actualizado.</w:t>
            </w:r>
          </w:p>
        </w:tc>
      </w:tr>
      <w:tr>
        <w:trPr>
          <w:cantSplit/>
        </w:trPr>
        <w:tc>
          <w:tcPr>
            <w:tcW w:type="dxa" w:w="18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Revisión académica</w:t>
            </w:r>
          </w:p>
        </w:tc>
        <w:tc>
          <w:tcPr>
            <w:tcW w:type="dxa" w:w="23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Dante con Carlos Quintanilla</w:t>
            </w:r>
          </w:p>
        </w:tc>
        <w:tc>
          <w:tcPr>
            <w:tcW w:type="dxa" w:w="267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Según calendario acordado; confirmar próxima fecha.</w:t>
            </w:r>
          </w:p>
        </w:tc>
        <w:tc>
          <w:tcPr>
            <w:tcW w:type="dxa" w:w="267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Informe y plan vinculados a los criterios de la pauta.</w:t>
            </w:r>
          </w:p>
        </w:tc>
      </w:tr>
      <w:tr>
        <w:trPr>
          <w:cantSplit/>
        </w:trPr>
        <w:tc>
          <w:tcPr>
            <w:tcW w:type="dxa" w:w="18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keepNext/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Riesgo que afecta alcance o datos</w:t>
            </w:r>
          </w:p>
        </w:tc>
        <w:tc>
          <w:tcPr>
            <w:tcW w:type="dxa" w:w="23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keepNext/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Dante con contraparte y docente según corresponda</w:t>
            </w:r>
          </w:p>
        </w:tc>
        <w:tc>
          <w:tcPr>
            <w:tcW w:type="dxa" w:w="267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keepNext/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Al detectarlo, con objetivo de informar dentro de 48 horas como referencia del plan anterior.</w:t>
            </w:r>
          </w:p>
        </w:tc>
        <w:tc>
          <w:tcPr>
            <w:tcW w:type="dxa" w:w="267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keepNext/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Impacto, evidencia, alternativas y decisión requerida.</w:t>
            </w:r>
          </w:p>
        </w:tc>
      </w:tr>
      <w:tr>
        <w:trPr>
          <w:cantSplit/>
        </w:trPr>
        <w:tc>
          <w:tcPr>
            <w:tcW w:type="dxa" w:w="18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Aceptación de incremento</w:t>
            </w:r>
          </w:p>
        </w:tc>
        <w:tc>
          <w:tcPr>
            <w:tcW w:type="dxa" w:w="23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Dante con contraparte y usuarios</w:t>
            </w:r>
          </w:p>
        </w:tc>
        <w:tc>
          <w:tcPr>
            <w:tcW w:type="dxa" w:w="267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Cuando exista un recorrido verificable y sus límites estén identificados.</w:t>
            </w:r>
          </w:p>
        </w:tc>
        <w:tc>
          <w:tcPr>
            <w:tcW w:type="dxa" w:w="267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Casos ejecutados, observaciones y conformidad expresa o pendientes.</w:t>
            </w:r>
          </w:p>
        </w:tc>
      </w:tr>
    </w:tbl>
    <w:p>
      <w:pPr>
        <w:spacing w:after="0"/>
      </w:pPr>
    </w:p>
    <w:p>
      <w:pPr>
        <w:pStyle w:val="Heading1"/>
      </w:pPr>
      <w:r>
        <w:t>4 Canales y control de decisiones</w:t>
      </w:r>
    </w:p>
    <w:p>
      <w:r>
        <w:t>El plan de referencia contempla llamada o Discord para revisión con la contraparte y AVA para las entregas académicas. Se confirmará el canal disponible antes de cada instancia. La carpeta Afrisan_DM reúne los documentos actualizados; el registro de una decisión debe enlazar la evidencia o documento que la sustenta. [1]</w:t>
      </w:r>
    </w:p>
    <w:p>
      <w:r>
        <w:t>Cada decisión registrará tema, solicitante, responsable de resolver, fecha de respuesta, cambio aceptado y documentos afectados. Un comentario informal no se presentará como firma ni conformidad. La revisión de un documento no autoriza por sí misma una modificación de datos productivos.</w:t>
      </w:r>
    </w:p>
    <w:p>
      <w:pPr>
        <w:pStyle w:val="Heading1"/>
      </w:pPr>
      <w:r>
        <w:t>5 Agenda de decisiones pendientes</w:t>
      </w:r>
    </w:p>
    <w:p>
      <w:pPr>
        <w:pStyle w:val="ListBullet"/>
      </w:pPr>
      <w:r>
        <w:t>Acordar con el docente la continuidad individual y la aplicación de los criterios grupales, junto con fechas e hitos. [3] [4]</w:t>
      </w:r>
    </w:p>
    <w:p>
      <w:pPr>
        <w:pStyle w:val="ListBullet"/>
      </w:pPr>
      <w:r>
        <w:t>Validar con AFRISAN las reglas revisadas de reemplazo, agregado, recepción y cierre. [3] [4]</w:t>
      </w:r>
    </w:p>
    <w:p>
      <w:pPr>
        <w:pStyle w:val="ListBullet"/>
      </w:pPr>
      <w:r>
        <w:t>Definir cálculo semanal y mensual de kilos por sucursal, calendario y acciones del Autorizador sobre límites no protegidos. [3] [4]</w:t>
      </w:r>
    </w:p>
    <w:p>
      <w:pPr>
        <w:pStyle w:val="ListBullet"/>
        <w:keepNext/>
      </w:pPr>
      <w:r>
        <w:t>Precisar rechazo y reenvío, rectificaciones materiales, reasignación y reserva de cilindros específicos. [3] [4]</w:t>
      </w:r>
    </w:p>
    <w:p>
      <w:pPr>
        <w:pStyle w:val="ListBullet"/>
      </w:pPr>
      <w:r>
        <w:t>Definir la base de masa emitida, factores ambientales y indicadores clave de desempeño de Power BI, y coordinar pruebas de aceptación de usuarios y captura con dispositivos reales. [3] [4]</w:t>
      </w:r>
    </w:p>
    <w:p>
      <w:pPr>
        <w:pStyle w:val="Heading1"/>
      </w:pPr>
      <w:r>
        <w:t>6 Trazabilidad y confidencialidad</w:t>
      </w:r>
    </w:p>
    <w:p>
      <w:r>
        <w:t>Cada entrega debe identificar fecha de corte, versión y responsable, y separar capturas sintéticas de evidencia operativa real. Se conservará la autoría histórica y se restringirán datos personales, credenciales y fotografías privadas. Los documentos académicos no incluirán tokens ni claves de servicios. [1] [5]</w:t>
      </w:r>
    </w:p>
    <w:p>
      <w:r>
        <w:t>Este plan describe comunicaciones futuras y mecanismos de registro. No acredita un envío a AVA, una reunión con la contraparte ni la aprobación de esta actualización.</w:t>
      </w:r>
    </w:p>
    <w:p>
      <w:pPr>
        <w:pStyle w:val="Heading1"/>
      </w:pPr>
      <w:r>
        <w:t>7 Fuentes y antecedentes</w:t>
      </w:r>
    </w:p>
    <w:p>
      <w:pPr>
        <w:keepNext/>
        <w:keepLines/>
      </w:pPr>
      <w:r>
        <w:t>Las citas numéricas del texto remiten a las referencias siguientes. Los antecedentes se conservan en ANEXOS/FUENTES con su estructura y autoría originales; los enlaces abren esas copias. Las fechas de los ensayos corresponden a las ejecuciones guardadas. La revisión documental no incorpora nuevas pruebas de la aplicación. Cuando la fuente no declara una fecha editorial se indica s. f.</w:t>
      </w:r>
    </w:p>
    <w:p>
      <w:pPr>
        <w:keepLines/>
        <w:spacing w:after="120"/>
      </w:pPr>
      <w:r>
        <w:t xml:space="preserve">[1] Moya, Dante y Larraguibel, Yarek. (s. f.). Plan de comunicación del sistema de gestión de refrigerantes AFRISAN, versión 1.0 [Plan grupal histórico]. </w:t>
      </w:r>
      <w:hyperlink r:id="rId9">
        <w:r>
          <w:rPr>
            <w:color w:val="24445F"/>
          </w:rPr>
          <w:t>EVIDENCIAS_​GRUPALES/​Documentación del Proyecto/​ACTUAL/​06_​Plan_​de_​Comunicacion_​AFRISAN_​Corregido.docx</w:t>
        </w:r>
      </w:hyperlink>
    </w:p>
    <w:p>
      <w:pPr>
        <w:keepLines/>
        <w:spacing w:after="120"/>
      </w:pPr>
      <w:r>
        <w:t xml:space="preserve">[2] Moya, Dante. (2026). Contexto del negocio y acuerdos [Definición de negocio registrada en el proyecto]. </w:t>
      </w:r>
      <w:hyperlink r:id="rId10">
        <w:r>
          <w:rPr>
            <w:color w:val="24445F"/>
          </w:rPr>
          <w:t>AFRISAN_​NUEVO/​01_​NEGOCIO/​00_​CONTEXTO_​Y_​ACUERDOS.md</w:t>
        </w:r>
      </w:hyperlink>
    </w:p>
    <w:p>
      <w:pPr>
        <w:keepLines/>
        <w:spacing w:after="120"/>
      </w:pPr>
      <w:r>
        <w:t xml:space="preserve">[3] Moya, Dante. (2026). OT: definición del negocio proporcionada por Dante [Definición de negocio registrada en el proyecto]. </w:t>
      </w:r>
      <w:hyperlink r:id="rId11">
        <w:r>
          <w:rPr>
            <w:color w:val="24445F"/>
          </w:rPr>
          <w:t>AFRISAN_​NUEVO/​01_​NEGOCIO/​07_​OT_​DEFINICION_​DANTE.md</w:t>
        </w:r>
      </w:hyperlink>
    </w:p>
    <w:p>
      <w:pPr>
        <w:keepLines/>
        <w:spacing w:after="120"/>
      </w:pPr>
      <w:r>
        <w:t xml:space="preserve">[4] Moya, Dante. (2026). Retiro por el técnico, cambio y revisión posterior [Definición de negocio registrada en el proyecto]. </w:t>
      </w:r>
      <w:hyperlink r:id="rId12">
        <w:r>
          <w:rPr>
            <w:color w:val="24445F"/>
          </w:rPr>
          <w:t>AFRISAN_​NUEVO/​01_​NEGOCIO/​12_​FLUJO_​TERRENO_​DESPACHO_​Y_​REVISION.md</w:t>
        </w:r>
      </w:hyperlink>
    </w:p>
    <w:p>
      <w:pPr>
        <w:keepLines/>
        <w:spacing w:after="120"/>
      </w:pPr>
      <w:r>
        <w:t xml:space="preserve">[5] Proyecto AFRISAN. (2026). Flujo de terreno corregido según Dante [Registro de validación técnica]. </w:t>
      </w:r>
      <w:hyperlink r:id="rId13">
        <w:r>
          <w:rPr>
            <w:color w:val="24445F"/>
          </w:rPr>
          <w:t>AFRISAN_​NUEVO/​04_​SEGUIMIENTO/​FLUJO_​TERRENO_​2026_​10_​25/​README.md</w:t>
        </w:r>
      </w:hyperlink>
    </w:p>
    <w:p>
      <w:pPr>
        <w:keepLines/>
        <w:spacing w:after="120"/>
      </w:pPr>
      <w:r>
        <w:t xml:space="preserve">[6] Proyecto AFRISAN. (2026). Validación del SQL del contexto actual [Registro de validación técnica]. </w:t>
      </w:r>
      <w:hyperlink r:id="rId14">
        <w:r>
          <w:rPr>
            <w:color w:val="24445F"/>
          </w:rPr>
          <w:t>AFRISAN_​NUEVO/​04_​SEGUIMIENTO/​VALIDACION_​SQL_​CONTEXTO_​2026_​10_​25/​README.md</w:t>
        </w:r>
      </w:hyperlink>
    </w:p>
    <w:p>
      <w:pPr>
        <w:keepLines/>
        <w:spacing w:after="120"/>
      </w:pPr>
      <w:r>
        <w:t xml:space="preserve">[7] Proyecto AFRISAN. (s. f.). AFRISAN-APT: índice y orientación del repositorio [Índice documental del proyecto]. </w:t>
      </w:r>
      <w:hyperlink r:id="rId15">
        <w:r>
          <w:rPr>
            <w:color w:val="24445F"/>
          </w:rPr>
          <w:t>README.md</w:t>
        </w:r>
      </w:hyperlink>
    </w:p>
    <w:p>
      <w:pPr>
        <w:keepLines/>
        <w:spacing w:after="120"/>
      </w:pPr>
      <w:r>
        <w:t xml:space="preserve">[8] Proyecto AFRISAN. (2026). AFRISAN nuevo: primera entrega de inventario [Documentación técnica del proyecto]. </w:t>
      </w:r>
      <w:hyperlink r:id="rId16">
        <w:r>
          <w:rPr>
            <w:color w:val="24445F"/>
          </w:rPr>
          <w:t>AFRISAN_​NUEVO/​03_​CODIGO/​README.md</w:t>
        </w:r>
      </w:hyperlink>
    </w:p>
    <w:p>
      <w:pPr>
        <w:keepLines/>
        <w:spacing w:after="120"/>
      </w:pPr>
      <w:r>
        <w:t xml:space="preserve">[9] Moya, Dante. (2026). Plan de trabajo de ocho columnas para Fase 2, actualizado al 22 de octubre de 2026 [Plan de trabajo individual]. </w:t>
      </w:r>
      <w:hyperlink r:id="rId17">
        <w:r>
          <w:rPr>
            <w:color w:val="24445F"/>
          </w:rPr>
          <w:t>EVIDENCIAS_​GRUPALES/​EVA_​2/​01_​PLAN_​DE_​TRABAJO_​8_​COLUMNAS_​FASE_​2.md</w:t>
        </w:r>
      </w:hyperlink>
    </w:p>
    <w:sectPr w:rsidR="00FC693F" w:rsidRPr="0006063C" w:rsidSect="00034616">
      <w:footerReference w:type="default" r:id="rId18"/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AFRISAN DM · Página </w:t>
    </w:r>
    <w:fldSimple w:instr="PAGE"/>
    <w:r>
      <w:rPr>
        <w:sz w:val="18"/>
      </w:rPr>
      <w:t xml:space="preserve"> de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12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40" w:lineRule="auto"/>
    </w:pPr>
    <w:rPr>
      <w:rFonts w:ascii="Calibri" w:hAnsi="Calibri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120"/>
      <w:contextualSpacing/>
    </w:pPr>
    <w:rPr>
      <w:rFonts w:ascii="Calibri" w:hAnsi="Calibr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120"/>
      <w:contextualSpacing/>
    </w:pPr>
    <w:rPr>
      <w:rFonts w:ascii="Calibri" w:hAnsi="Calibri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../ANEXOS/FUENTES/EVIDENCIAS_GRUPALES/Documentaci%C3%B3n%20del%20Proyecto/ACTUAL/06_Plan_de_Comunicacion_AFRISAN_Corregido.docx" TargetMode="External"/><Relationship Id="rId10" Type="http://schemas.openxmlformats.org/officeDocument/2006/relationships/hyperlink" Target="../ANEXOS/FUENTES/AFRISAN_NUEVO/01_NEGOCIO/00_CONTEXTO_Y_ACUERDOS.md" TargetMode="External"/><Relationship Id="rId11" Type="http://schemas.openxmlformats.org/officeDocument/2006/relationships/hyperlink" Target="../ANEXOS/FUENTES/AFRISAN_NUEVO/01_NEGOCIO/07_OT_DEFINICION_DANTE.md" TargetMode="External"/><Relationship Id="rId12" Type="http://schemas.openxmlformats.org/officeDocument/2006/relationships/hyperlink" Target="../ANEXOS/FUENTES/AFRISAN_NUEVO/01_NEGOCIO/12_FLUJO_TERRENO_DESPACHO_Y_REVISION.md" TargetMode="External"/><Relationship Id="rId13" Type="http://schemas.openxmlformats.org/officeDocument/2006/relationships/hyperlink" Target="../ANEXOS/FUENTES/AFRISAN_NUEVO/04_SEGUIMIENTO/FLUJO_TERRENO_2026_10_25/README.md" TargetMode="External"/><Relationship Id="rId14" Type="http://schemas.openxmlformats.org/officeDocument/2006/relationships/hyperlink" Target="../ANEXOS/FUENTES/AFRISAN_NUEVO/04_SEGUIMIENTO/VALIDACION_SQL_CONTEXTO_2026_10_25/README.md" TargetMode="External"/><Relationship Id="rId15" Type="http://schemas.openxmlformats.org/officeDocument/2006/relationships/hyperlink" Target="../ANEXOS/FUENTES/README.md" TargetMode="External"/><Relationship Id="rId16" Type="http://schemas.openxmlformats.org/officeDocument/2006/relationships/hyperlink" Target="../ANEXOS/FUENTES/AFRISAN_NUEVO/03_CODIGO/README.md" TargetMode="External"/><Relationship Id="rId17" Type="http://schemas.openxmlformats.org/officeDocument/2006/relationships/hyperlink" Target="../ANEXOS/FUENTES/EVIDENCIAS_GRUPALES/EVA_2/01_PLAN_DE_TRABAJO_8_COLUMNAS_FASE_2.md" TargetMode="Externa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comunicación del nuevo AFRISAN</dc:title>
  <dc:subject>Nuevo AFRISAN · Documentación APT en español · Revisión 29/10/2026</dc:subject>
  <dc:creator>Dante Moya</dc:creator>
  <cp:keywords/>
  <dc:description>Actualización documental con conservación de antecedentes y autoría histórica.</dc:description>
  <cp:lastModifiedBy/>
  <cp:revision>1</cp:revision>
  <dcterms:created xsi:type="dcterms:W3CDTF">2013-12-23T23:15:00Z</dcterms:created>
  <dcterms:modified xsi:type="dcterms:W3CDTF">2013-12-23T23:15:00Z</dcterms:modified>
  <cp:category/>
  <dc:language>es-CL</dc:language>
</cp:coreProperties>
</file>