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Pauta y registro de levantamiento del nuevo AFRISAN</w:t>
      </w:r>
    </w:p>
    <w:p>
      <w:pPr>
        <w:pStyle w:val="Subtitle"/>
      </w:pPr>
      <w:r>
        <w:t>Antecedente de entrevista y aclaraciones del proceso  29 de octubre de 2026</w:t>
      </w:r>
    </w:p>
    <w:p>
      <w:r>
        <w:t>Responsable actual Dante Moya · Versión documental en español del 29 de octubre de 2026</w:t>
      </w:r>
    </w:p>
    <w:p>
      <w:pPr>
        <w:pStyle w:val="Heading1"/>
      </w:pPr>
      <w:r>
        <w:t>1 Propósito y tratamiento de las fuentes</w:t>
      </w:r>
    </w:p>
    <w:p>
      <w:r>
        <w:t>Este documento conserva el antecedente de entrevista original y organiza las aclaraciones posteriores que sustentan el nuevo AFRISAN. La actualización no se presenta como una entrevista nueva realizada a Carlos Aguilera. Las definiciones de octubre corresponden a aclaraciones documentadas de Dante y deben validarse con la contraparte cuando impliquen cambios de alcance. [1] [6]</w:t>
      </w:r>
    </w:p>
    <w:p>
      <w:r>
        <w:t>El objetivo del levantamiento vigente es confirmar identidad, custodia, pesajes y responsabilidades en reemplazos o agregados físicos de cilindros, además de definir los datos necesarios para límites, costos y analítica.</w:t>
      </w:r>
    </w:p>
    <w:p>
      <w:pPr>
        <w:pStyle w:val="Heading1"/>
      </w:pPr>
      <w:r>
        <w:t>2 Ficha de la entrevista original</w:t>
      </w:r>
    </w:p>
    <w:p>
      <w:r>
        <w:t>Los antecedentes y criterios de esta tabla se apoyan en las fuentes [1].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rPr>
          <w:tblHeader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Dato conservado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Organización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Accesorios Frigoríficos Santiago Limitada.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Entrevistado registrado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Carlos Aguilera.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Entrevistadora original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Carolina Ávila Medina.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Fecha registrada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23 de agosto de 2026.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Documento de origen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07_Pauta_Entrevista_Tecnica_AFRISAN_Corregida.docx, documentación ACTUAL.</w:t>
            </w:r>
          </w:p>
        </w:tc>
      </w:tr>
      <w:tr>
        <w:trPr>
          <w:cantSplit/>
        </w:trPr>
        <w:tc>
          <w:tcPr>
            <w:tcW w:type="dxa" w:w="38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Responsable de esta actualización</w:t>
            </w:r>
          </w:p>
        </w:tc>
        <w:tc>
          <w:tcPr>
            <w:tcW w:type="dxa" w:w="56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Dante Moya, continuidad actual; no sustituye la autoría de la entrevista.</w:t>
            </w:r>
          </w:p>
        </w:tc>
      </w:tr>
    </w:tbl>
    <w:p>
      <w:pPr>
        <w:spacing w:after="0"/>
      </w:pPr>
    </w:p>
    <w:p>
      <w:pPr>
        <w:pStyle w:val="Heading1"/>
      </w:pPr>
      <w:r>
        <w:t>3 Síntesis atribuida al registro original</w:t>
      </w:r>
    </w:p>
    <w:p>
      <w:r>
        <w:t>El registro de agosto describe ingreso de refrigerantes mediante Defontana, emisión de OT y guías, falta de identificación unitaria y dificultad para controlar el uso y retorno de envases. También recoge la necesidad de relacionar bajas con certificados Regener. Estas afirmaciones se mantienen como antecedentes del documento de entrevista, sin declararlas mediciones actuales de la empresa. [1] [6]</w:t>
      </w:r>
    </w:p>
    <w:p>
      <w:r>
        <w:t>El registro histórico trataba la carga de refrigerante en equipos y una devolución global de envases. Las aclaraciones posteriores establecen que el trabajo actual es reemplazo físico: el cilindro instalado queda en sucursal y un cilindro distinto regresa a Bodega. Esta diferencia obliga a revisar los criterios anteriores de retorno y balance de masa.</w:t>
      </w:r>
    </w:p>
    <w:p>
      <w:pPr>
        <w:pStyle w:val="Heading1"/>
      </w:pPr>
      <w:r>
        <w:t>4 Acuerdos documentados de octubre</w:t>
      </w:r>
    </w:p>
    <w:p>
      <w:r>
        <w:t>Los antecedentes y criterios de esta tabla se apoyan en las fuentes [2], [3], [6]. La asignación y el estado de la versión actual corresponden al corte documental del 28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Tema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Definición actual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Fuente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Identidad y masa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Un refrigerante por cilindro; tara, capacidad y peso bruto distintos. Gramos enteros y conversión explícita a kg.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00_CONTEXTO_Y_ACUERDOS.md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OT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Solicitud por sucursal con refrigerantes y kilos; distinguir solicitado, autorizado y ejecutado; Técnico obligatorio.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07_OT_DEFINICION_DANTE.md y 10_PROCESOS_AUTORIZADOR.md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Retiro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El Técnico asignado selecciona el envase elegible, registra peso de salida y foto y asume custodia.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12_FLUJO_TERRENO_DESPACHO_Y_REVISION.md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Cambio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Reemplazo con retirado e instalado diferenciados y fotos de ambos pesajes. Agregado sin retirado ficticio.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00_CONTEXTO_Y_ACUERDOS.md y flujo del 25 de octubre.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Recepción y aprobación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Bodega recibe físicamente, registra su propio pesaje y aprueba después del término técnico.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12_FLUJO_TERRENO_DESPACHO_Y_REVISION.md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Revisión final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Autorizador revisa registros y fotografías después de aprobación de Bodega y antes de cerrar.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12_FLUJO_TERRENO_DESPACHO_Y_REVISION.md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Límites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Límites semanales y mensuales por sucursal; modificación de Jefatura bloquea edición de Bodega hasta habilitación expresa.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07_OT_DEFINICION_DANTE.md</w:t>
            </w:r>
          </w:p>
        </w:tc>
      </w:tr>
      <w:tr>
        <w:trPr>
          <w:cantSplit/>
        </w:trPr>
        <w:tc>
          <w:tcPr>
            <w:tcW w:type="dxa" w:w="20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Analítica</w:t>
            </w:r>
          </w:p>
        </w:tc>
        <w:tc>
          <w:tcPr>
            <w:tcW w:type="dxa" w:w="3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Mantener Power BI en el alcance; no equiparar traslado o instalación con emisión.</w:t>
            </w:r>
          </w:p>
        </w:tc>
        <w:tc>
          <w:tcPr>
            <w:tcW w:type="dxa" w:w="362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11_MODULO_POWER_BI.md y modelo del contexto actual.</w:t>
            </w:r>
          </w:p>
        </w:tc>
      </w:tr>
    </w:tbl>
    <w:p>
      <w:pPr>
        <w:spacing w:after="0"/>
      </w:pPr>
    </w:p>
    <w:p>
      <w:pPr>
        <w:pStyle w:val="Heading1"/>
      </w:pPr>
      <w:r>
        <w:t>5 Preguntas para validación con la contraparte</w:t>
      </w:r>
    </w:p>
    <w:p>
      <w:pPr>
        <w:pStyle w:val="ListBullet"/>
      </w:pPr>
      <w:r>
        <w:t>¿Qué documentos o datos de Defontana deben referenciarse y cómo se resolverá su importación sin modificar el ERP? [2] [3] [6]</w:t>
      </w:r>
    </w:p>
    <w:p>
      <w:pPr>
        <w:pStyle w:val="ListBullet"/>
      </w:pPr>
      <w:r>
        <w:t>¿Qué orígenes de ingreso y recarga de un cilindro se admiten, y qué pesaje o historial será obligatorio antes de disponibilizarlo? [2] [3] [6]</w:t>
      </w:r>
    </w:p>
    <w:p>
      <w:pPr>
        <w:pStyle w:val="ListBullet"/>
      </w:pPr>
      <w:r>
        <w:t>¿Cómo se tratarán OT parciales, rechazo y reenvío, cambios de Técnico y reserva previa de códigos específicos? [2] [3] [6]</w:t>
      </w:r>
    </w:p>
    <w:p>
      <w:pPr>
        <w:pStyle w:val="ListBullet"/>
      </w:pPr>
      <w:r>
        <w:t>¿Qué diferencia de pesaje requiere revisión, quién la resuelve y cómo se rectifica materialmente un dato aprobado sin borrar evidencia? [2] [3] [6]</w:t>
      </w:r>
    </w:p>
    <w:p>
      <w:pPr>
        <w:pStyle w:val="ListBullet"/>
      </w:pPr>
      <w:r>
        <w:t>¿Qué masa se acumula para límites semanales y mensuales, qué fechas delimitan el período y qué eventos se excluyen o ajustan? [2] [3] [6]</w:t>
      </w:r>
    </w:p>
    <w:p>
      <w:pPr>
        <w:pStyle w:val="ListBullet"/>
      </w:pPr>
      <w:r>
        <w:t>¿Qué puede modificar el Autorizador respecto de límites no protegidos y qué restricciones adicionales se aplican? [2] [3] [6]</w:t>
      </w:r>
    </w:p>
    <w:p>
      <w:pPr>
        <w:pStyle w:val="ListBullet"/>
      </w:pPr>
      <w:r>
        <w:t>¿Qué hecho y respaldo permiten registrar una emisión? ¿Qué fuente y versión del factor GWP se validarán? [2] [3] [6]</w:t>
      </w:r>
    </w:p>
    <w:p>
      <w:pPr>
        <w:pStyle w:val="ListBullet"/>
      </w:pPr>
      <w:r>
        <w:t>¿Quién autoriza la baja y registra el certificado Regener, y qué respaldo se debe conservar? [2] [3] [6]</w:t>
      </w:r>
    </w:p>
    <w:p>
      <w:pPr>
        <w:pStyle w:val="ListBullet"/>
        <w:keepNext/>
      </w:pPr>
      <w:r>
        <w:t>¿Qué dispositivos y escenarios de red usarán las pruebas, quiénes participarán y qué criterios definirán aceptación? [2] [3] [6]</w:t>
      </w:r>
    </w:p>
    <w:p>
      <w:pPr>
        <w:pStyle w:val="ListBullet"/>
      </w:pPr>
      <w:r>
        <w:t>¿Qué indicadores clave de desempeño necesita Jefatura en Power BI, con qué filtros, frecuencia de actualización y controles de acceso? [2] [3] [6]</w:t>
      </w:r>
    </w:p>
    <w:p>
      <w:pPr>
        <w:pStyle w:val="Heading1"/>
      </w:pPr>
      <w:r>
        <w:t>6 Formato para registrar una nueva respuesta</w:t>
      </w:r>
    </w:p>
    <w:p>
      <w:r>
        <w:t>La próxima validación registrará fecha, participante y cargo, pregunta, respuesta literal o síntesis confirmada, decisión, evidencia y requisitos afectados. Si no hay respuesta, el tema permanece pendiente. Los responsables y fechas se completarán al realizar la instancia; no se anticipan nombres de asistentes ni resultados. [1]</w:t>
      </w:r>
    </w:p>
    <w:p>
      <w:r>
        <w:t>Cada cambio aceptado se trasladará al acta, lista de trabajo, modelo de datos, criterios de prueba e informe de avance. Una aprobación deberá identificar su alcance y versión; no se reutilizará una conformidad de agosto o septiembre para certificar la implementación nueva.</w:t>
      </w:r>
    </w:p>
    <w:p>
      <w:pPr>
        <w:pStyle w:val="Heading1"/>
      </w:pPr>
      <w:r>
        <w:t>7 Estado de validación</w:t>
      </w:r>
    </w:p>
    <w:p>
      <w:r>
        <w:t>El flujo actual cuenta con evidencia técnica sintética de la aplicación del 25 de octubre. Esa evidencia comprueba comportamientos del prototipo y no sustituye una entrevista, validación operativa, firma ni pruebas de aceptación de usuarios. No se registra en esta actualización una nueva sesión con la contraparte. [7]</w:t>
      </w:r>
    </w:p>
    <w:p>
      <w:pPr>
        <w:pStyle w:val="Heading1"/>
      </w:pPr>
      <w:r>
        <w:t>8 Fuentes y antecedentes</w:t>
      </w:r>
    </w:p>
    <w:p>
      <w:pPr>
        <w:keepNext/>
        <w:keepLines/>
      </w:pPr>
      <w:r>
        <w:t>Las citas numéricas del texto remiten a las referencias siguientes. Los antecedentes se conservan en ANEXOS/FUENTES con su estructura y autoría originales; los enlaces abren esas copias. Las fechas de los ensayos corresponden a las ejecuciones guardadas. La revisión documental no incorpora nuevas pruebas de la aplicación. Cuando la fuente no declara una fecha editorial se indica s. f.</w:t>
      </w:r>
    </w:p>
    <w:p>
      <w:pPr>
        <w:keepLines/>
        <w:spacing w:after="120"/>
      </w:pPr>
      <w:r>
        <w:t xml:space="preserve">[1] Ávila Medina, Carolina. (2026). Pauta y registro de entrevista técnica de AFRISAN del 23 de agosto de 2026 [Entrevista histórica con revisión documental posterior]. </w:t>
      </w:r>
      <w:hyperlink r:id="rId9">
        <w:r>
          <w:rPr>
            <w:color w:val="24445F"/>
          </w:rPr>
          <w:t>EVIDENCIAS_​GRUPALES/​Documentación del Proyecto/​ACTUAL/​07_​Pauta_​Entrevista_​Tecnica_​AFRISAN_​Corregida.docx</w:t>
        </w:r>
      </w:hyperlink>
    </w:p>
    <w:p>
      <w:pPr>
        <w:keepLines/>
        <w:spacing w:after="120"/>
      </w:pPr>
      <w:r>
        <w:t xml:space="preserve">[2] Moya, Dante. (2026). Procesos del Autorizador [Definición de negocio registrada en el proyecto]. </w:t>
      </w:r>
      <w:hyperlink r:id="rId10">
        <w:r>
          <w:rPr>
            <w:color w:val="24445F"/>
          </w:rPr>
          <w:t>AFRISAN_​NUEVO/​01_​NEGOCIO/​10_​PROCESOS_​AUTORIZADOR.md</w:t>
        </w:r>
      </w:hyperlink>
    </w:p>
    <w:p>
      <w:pPr>
        <w:keepLines/>
        <w:spacing w:after="120"/>
      </w:pPr>
      <w:r>
        <w:t xml:space="preserve">[3] Moya, Dante. (2026). Módulo de gráficos con Power BI [Definición de negocio registrada en el proyecto]. </w:t>
      </w:r>
      <w:hyperlink r:id="rId11">
        <w:r>
          <w:rPr>
            <w:color w:val="24445F"/>
          </w:rPr>
          <w:t>AFRISAN_​NUEVO/​01_​NEGOCIO/​11_​MODULO_​POWER_​BI.md</w:t>
        </w:r>
      </w:hyperlink>
    </w:p>
    <w:p>
      <w:pPr>
        <w:keepLines/>
        <w:spacing w:after="120"/>
      </w:pPr>
      <w:r>
        <w:t xml:space="preserve">[4] Moya, Dante. (2026). Contexto del negocio y acuerdos [Definición de negocio registrada en el proyecto]. </w:t>
      </w:r>
      <w:hyperlink r:id="rId12">
        <w:r>
          <w:rPr>
            <w:color w:val="24445F"/>
          </w:rPr>
          <w:t>AFRISAN_​NUEVO/​01_​NEGOCIO/​00_​CONTEXTO_​Y_​ACUERDOS.md</w:t>
        </w:r>
      </w:hyperlink>
    </w:p>
    <w:p>
      <w:pPr>
        <w:keepLines/>
        <w:spacing w:after="120"/>
      </w:pPr>
      <w:r>
        <w:t xml:space="preserve">[5] Moya, Dante. (2026). OT: definición del negocio proporcionada por Dante [Definición de negocio registrada en el proyecto]. </w:t>
      </w:r>
      <w:hyperlink r:id="rId13">
        <w:r>
          <w:rPr>
            <w:color w:val="24445F"/>
          </w:rPr>
          <w:t>AFRISAN_​NUEVO/​01_​NEGOCIO/​07_​OT_​DEFINICION_​DANTE.md</w:t>
        </w:r>
      </w:hyperlink>
    </w:p>
    <w:p>
      <w:pPr>
        <w:keepLines/>
        <w:spacing w:after="120"/>
      </w:pPr>
      <w:r>
        <w:t xml:space="preserve">[6] Moya, Dante. (2026). Retiro por el técnico, cambio y revisión posterior [Definición de negocio registrada en el proyecto]. </w:t>
      </w:r>
      <w:hyperlink r:id="rId14">
        <w:r>
          <w:rPr>
            <w:color w:val="24445F"/>
          </w:rPr>
          <w:t>AFRISAN_​NUEVO/​01_​NEGOCIO/​12_​FLUJO_​TERRENO_​DESPACHO_​Y_​REVISION.md</w:t>
        </w:r>
      </w:hyperlink>
    </w:p>
    <w:p>
      <w:pPr>
        <w:keepLines/>
        <w:spacing w:after="120"/>
      </w:pPr>
      <w:r>
        <w:t xml:space="preserve">[7] Proyecto AFRISAN. (2026). Flujo de terreno corregido según Dante [Registro de validación técnica]. </w:t>
      </w:r>
      <w:hyperlink r:id="rId15">
        <w:r>
          <w:rPr>
            <w:color w:val="24445F"/>
          </w:rPr>
          <w:t>AFRISAN_​NUEVO/​04_​SEGUIMIENTO/​FLUJO_​TERRENO_​2026_​10_​25/​README.md</w:t>
        </w:r>
      </w:hyperlink>
    </w:p>
    <w:p>
      <w:pPr>
        <w:keepLines/>
        <w:spacing w:after="120"/>
      </w:pPr>
      <w:r>
        <w:t xml:space="preserve">[8] Proyecto AFRISAN. (2026). Validación del SQL del contexto actual [Registro de validación técnica]. </w:t>
      </w:r>
      <w:hyperlink r:id="rId16">
        <w:r>
          <w:rPr>
            <w:color w:val="24445F"/>
          </w:rPr>
          <w:t>AFRISAN_​NUEVO/​04_​SEGUIMIENTO/​VALIDACION_​SQL_​CONTEXTO_​2026_​10_​25/​README.md</w:t>
        </w:r>
      </w:hyperlink>
    </w:p>
    <w:p>
      <w:pPr>
        <w:keepLines/>
        <w:spacing w:after="120"/>
      </w:pPr>
      <w:r>
        <w:t xml:space="preserve">[9] Proyecto AFRISAN. (s. f.). AFRISAN-APT: índice y orientación del repositorio [Índice documental del proyecto]. </w:t>
      </w:r>
      <w:hyperlink r:id="rId17">
        <w:r>
          <w:rPr>
            <w:color w:val="24445F"/>
          </w:rPr>
          <w:t>README.md</w:t>
        </w:r>
      </w:hyperlink>
    </w:p>
    <w:sectPr w:rsidR="00FC693F" w:rsidRPr="0006063C" w:rsidSect="00034616">
      <w:footerReference w:type="default" r:id="rId18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AFRISAN DM · 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NEXOS/FUENTES/EVIDENCIAS_GRUPALES/Documentaci%C3%B3n%20del%20Proyecto/ACTUAL/07_Pauta_Entrevista_Tecnica_AFRISAN_Corregida.docx" TargetMode="External"/><Relationship Id="rId10" Type="http://schemas.openxmlformats.org/officeDocument/2006/relationships/hyperlink" Target="../ANEXOS/FUENTES/AFRISAN_NUEVO/01_NEGOCIO/10_PROCESOS_AUTORIZADOR.md" TargetMode="External"/><Relationship Id="rId11" Type="http://schemas.openxmlformats.org/officeDocument/2006/relationships/hyperlink" Target="../ANEXOS/FUENTES/AFRISAN_NUEVO/01_NEGOCIO/11_MODULO_POWER_BI.md" TargetMode="External"/><Relationship Id="rId12" Type="http://schemas.openxmlformats.org/officeDocument/2006/relationships/hyperlink" Target="../ANEXOS/FUENTES/AFRISAN_NUEVO/01_NEGOCIO/00_CONTEXTO_Y_ACUERDOS.md" TargetMode="External"/><Relationship Id="rId13" Type="http://schemas.openxmlformats.org/officeDocument/2006/relationships/hyperlink" Target="../ANEXOS/FUENTES/AFRISAN_NUEVO/01_NEGOCIO/07_OT_DEFINICION_DANTE.md" TargetMode="External"/><Relationship Id="rId14" Type="http://schemas.openxmlformats.org/officeDocument/2006/relationships/hyperlink" Target="../ANEXOS/FUENTES/AFRISAN_NUEVO/01_NEGOCIO/12_FLUJO_TERRENO_DESPACHO_Y_REVISION.md" TargetMode="External"/><Relationship Id="rId15" Type="http://schemas.openxmlformats.org/officeDocument/2006/relationships/hyperlink" Target="../ANEXOS/FUENTES/AFRISAN_NUEVO/04_SEGUIMIENTO/FLUJO_TERRENO_2026_10_25/README.md" TargetMode="External"/><Relationship Id="rId16" Type="http://schemas.openxmlformats.org/officeDocument/2006/relationships/hyperlink" Target="../ANEXOS/FUENTES/AFRISAN_NUEVO/04_SEGUIMIENTO/VALIDACION_SQL_CONTEXTO_2026_10_25/README.md" TargetMode="External"/><Relationship Id="rId17" Type="http://schemas.openxmlformats.org/officeDocument/2006/relationships/hyperlink" Target="../ANEXOS/FUENTES/README.md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y registro de levantamiento del nuevo AFRISAN</dc:title>
  <dc:subject>Nuevo AFRISAN · Documentación APT en español · Revisión 29/10/2026</dc:subject>
  <dc:creator>Dante Moya</dc:creator>
  <cp:keywords/>
  <dc:description>Actualización documental con conservación de antecedentes y autoría histórica.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