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Responsabilidades del nuevo AFRISAN</w:t>
      </w:r>
    </w:p>
    <w:p>
      <w:pPr>
        <w:pStyle w:val="Subtitle"/>
      </w:pPr>
      <w:r>
        <w:t>Gobernanza del proyecto y funciones operativas  29 de octubre de 2026</w:t>
      </w:r>
    </w:p>
    <w:p>
      <w:r>
        <w:t>Responsable actual Dante Moya · Versión documental en español del 29 de octubre de 2026</w:t>
      </w:r>
    </w:p>
    <w:p>
      <w:pPr>
        <w:pStyle w:val="Heading1"/>
      </w:pPr>
      <w:r>
        <w:t>1 Criterios de asignación</w:t>
      </w:r>
    </w:p>
    <w:p>
      <w:r>
        <w:t>La matriz separa las responsabilidades del desarrollo académico de las funciones que ejecutan los usuarios de la aplicación. Dante Moya asume la continuidad individual. Los integrantes anteriores conservan su autoría y no se consideran recursos activos. Las responsabilidades de validación de la contraparte y evaluación docente no se convierten en tareas de programación. [1] [4]</w:t>
      </w:r>
    </w:p>
    <w:p>
      <w:r>
        <w:t>R significa ejecuta; A responde por la decisión o aceptación de su ámbito; C aporta antecedentes; I recibe información. La asignación académica o de negocio no acredita una aprobación ya obtenida.</w:t>
      </w:r>
    </w:p>
    <w:p>
      <w:pPr>
        <w:pStyle w:val="Heading1"/>
      </w:pPr>
      <w:r>
        <w:t>2 Matriz de gestión del proyecto</w:t>
      </w:r>
    </w:p>
    <w:p>
      <w:r>
        <w:t>Los antecedentes y criterios de esta tabla se apoyan en las fuentes [1], [4].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14"/>
        <w:gridCol w:w="3614"/>
        <w:gridCol w:w="3614"/>
        <w:gridCol w:w="3614"/>
      </w:tblGrid>
      <w:tr>
        <w:trPr>
          <w:tblHeader/>
        </w:trPr>
        <w:tc>
          <w:tcPr>
            <w:tcW w:type="dxa" w:w="5493"/>
            <w:vAlign w:val="center"/>
            <w:tcMar>
              <w:top w:w="85" w:type="dxa"/>
              <w:left w:w="85" w:type="dxa"/>
              <w:bottom w:w="85" w:type="dxa"/>
              <w:right w:w="85" w:type="dxa"/>
            </w:tcMar>
            <w:shd w:fill="24445F"/>
          </w:tcPr>
          <w:p>
            <w:pPr>
              <w:keepNext/>
              <w:spacing w:before="40" w:after="60" w:line="240" w:lineRule="auto"/>
            </w:pPr>
            <w:r>
              <w:rPr>
                <w:b/>
                <w:color w:val="FFFFFF"/>
                <w:sz w:val="22"/>
              </w:rPr>
              <w:t>Actividad</w:t>
            </w:r>
          </w:p>
        </w:tc>
        <w:tc>
          <w:tcPr>
            <w:tcW w:type="dxa" w:w="3342"/>
            <w:vAlign w:val="center"/>
            <w:tcMar>
              <w:top w:w="85" w:type="dxa"/>
              <w:left w:w="85" w:type="dxa"/>
              <w:bottom w:w="85" w:type="dxa"/>
              <w:right w:w="85" w:type="dxa"/>
            </w:tcMar>
            <w:shd w:fill="24445F"/>
          </w:tcPr>
          <w:p>
            <w:pPr>
              <w:keepNext/>
              <w:spacing w:before="40" w:after="60" w:line="240" w:lineRule="auto"/>
            </w:pPr>
            <w:r>
              <w:rPr>
                <w:b/>
                <w:color w:val="FFFFFF"/>
                <w:sz w:val="22"/>
              </w:rPr>
              <w:t>Dante Moya</w:t>
            </w:r>
          </w:p>
        </w:tc>
        <w:tc>
          <w:tcPr>
            <w:tcW w:type="dxa" w:w="3342"/>
            <w:vAlign w:val="center"/>
            <w:tcMar>
              <w:top w:w="85" w:type="dxa"/>
              <w:left w:w="85" w:type="dxa"/>
              <w:bottom w:w="85" w:type="dxa"/>
              <w:right w:w="85" w:type="dxa"/>
            </w:tcMar>
            <w:shd w:fill="24445F"/>
          </w:tcPr>
          <w:p>
            <w:pPr>
              <w:keepNext/>
              <w:spacing w:before="40" w:after="60" w:line="240" w:lineRule="auto"/>
            </w:pPr>
            <w:r>
              <w:rPr>
                <w:b/>
                <w:color w:val="FFFFFF"/>
                <w:sz w:val="22"/>
              </w:rPr>
              <w:t>Contraparte AFRISAN</w:t>
            </w:r>
          </w:p>
        </w:tc>
        <w:tc>
          <w:tcPr>
            <w:tcW w:type="dxa" w:w="2281"/>
            <w:vAlign w:val="center"/>
            <w:tcMar>
              <w:top w:w="85" w:type="dxa"/>
              <w:left w:w="85" w:type="dxa"/>
              <w:bottom w:w="85" w:type="dxa"/>
              <w:right w:w="85" w:type="dxa"/>
            </w:tcMar>
            <w:shd w:fill="24445F"/>
          </w:tcPr>
          <w:p>
            <w:pPr>
              <w:keepNext/>
              <w:spacing w:before="40" w:after="60" w:line="240" w:lineRule="auto"/>
            </w:pPr>
            <w:r>
              <w:rPr>
                <w:b/>
                <w:color w:val="FFFFFF"/>
                <w:sz w:val="22"/>
              </w:rPr>
              <w:t>Docente guía</w:t>
            </w:r>
          </w:p>
        </w:tc>
      </w:tr>
      <w:tr>
        <w:trPr>
          <w:cantSplit/>
        </w:trPr>
        <w:tc>
          <w:tcPr>
            <w:tcW w:type="dxa" w:w="5493"/>
            <w:vAlign w:val="center"/>
            <w:tcMar>
              <w:top w:w="85" w:type="dxa"/>
              <w:left w:w="85" w:type="dxa"/>
              <w:bottom w:w="85" w:type="dxa"/>
              <w:right w:w="85" w:type="dxa"/>
            </w:tcMar>
          </w:tcPr>
          <w:p>
            <w:pPr>
              <w:spacing w:before="40" w:after="60" w:line="240" w:lineRule="auto"/>
            </w:pPr>
            <w:r>
              <w:rPr>
                <w:b w:val="0"/>
                <w:color w:val="000000"/>
                <w:sz w:val="22"/>
              </w:rPr>
              <w:t>Preparar y mantener requisitos, documentos y planificación</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R/A</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C</w:t>
            </w:r>
          </w:p>
        </w:tc>
        <w:tc>
          <w:tcPr>
            <w:tcW w:type="dxa" w:w="2281"/>
            <w:vAlign w:val="center"/>
            <w:tcMar>
              <w:top w:w="85" w:type="dxa"/>
              <w:left w:w="85" w:type="dxa"/>
              <w:bottom w:w="85" w:type="dxa"/>
              <w:right w:w="85" w:type="dxa"/>
            </w:tcMar>
          </w:tcPr>
          <w:p>
            <w:pPr>
              <w:spacing w:before="40" w:after="60" w:line="240" w:lineRule="auto"/>
            </w:pPr>
            <w:r>
              <w:rPr>
                <w:b w:val="0"/>
                <w:color w:val="000000"/>
                <w:sz w:val="22"/>
              </w:rPr>
              <w:t>I</w:t>
            </w:r>
          </w:p>
        </w:tc>
      </w:tr>
      <w:tr>
        <w:trPr>
          <w:cantSplit/>
        </w:trPr>
        <w:tc>
          <w:tcPr>
            <w:tcW w:type="dxa" w:w="5493"/>
            <w:vAlign w:val="center"/>
            <w:tcMar>
              <w:top w:w="85" w:type="dxa"/>
              <w:left w:w="85" w:type="dxa"/>
              <w:bottom w:w="85" w:type="dxa"/>
              <w:right w:w="85" w:type="dxa"/>
            </w:tcMar>
            <w:shd w:fill="F1F5F8"/>
          </w:tcPr>
          <w:p>
            <w:pPr>
              <w:spacing w:before="40" w:after="60" w:line="240" w:lineRule="auto"/>
            </w:pPr>
            <w:r>
              <w:rPr>
                <w:b w:val="0"/>
                <w:color w:val="000000"/>
                <w:sz w:val="22"/>
              </w:rPr>
              <w:t>Validar reglas y aceptar alcance de negocio</w:t>
            </w:r>
          </w:p>
        </w:tc>
        <w:tc>
          <w:tcPr>
            <w:tcW w:type="dxa" w:w="3342"/>
            <w:vAlign w:val="center"/>
            <w:tcMar>
              <w:top w:w="85" w:type="dxa"/>
              <w:left w:w="85" w:type="dxa"/>
              <w:bottom w:w="85" w:type="dxa"/>
              <w:right w:w="85" w:type="dxa"/>
            </w:tcMar>
            <w:shd w:fill="F1F5F8"/>
          </w:tcPr>
          <w:p>
            <w:pPr>
              <w:spacing w:before="40" w:after="60" w:line="240" w:lineRule="auto"/>
            </w:pPr>
            <w:r>
              <w:rPr>
                <w:b w:val="0"/>
                <w:color w:val="000000"/>
                <w:sz w:val="22"/>
              </w:rPr>
              <w:t>R en preparar evidencia</w:t>
            </w:r>
          </w:p>
        </w:tc>
        <w:tc>
          <w:tcPr>
            <w:tcW w:type="dxa" w:w="3342"/>
            <w:vAlign w:val="center"/>
            <w:tcMar>
              <w:top w:w="85" w:type="dxa"/>
              <w:left w:w="85" w:type="dxa"/>
              <w:bottom w:w="85" w:type="dxa"/>
              <w:right w:w="85" w:type="dxa"/>
            </w:tcMar>
            <w:shd w:fill="F1F5F8"/>
          </w:tcPr>
          <w:p>
            <w:pPr>
              <w:spacing w:before="40" w:after="60" w:line="240" w:lineRule="auto"/>
            </w:pPr>
            <w:r>
              <w:rPr>
                <w:b w:val="0"/>
                <w:color w:val="000000"/>
                <w:sz w:val="22"/>
              </w:rPr>
              <w:t>A</w:t>
            </w:r>
          </w:p>
        </w:tc>
        <w:tc>
          <w:tcPr>
            <w:tcW w:type="dxa" w:w="2281"/>
            <w:vAlign w:val="center"/>
            <w:tcMar>
              <w:top w:w="85" w:type="dxa"/>
              <w:left w:w="85" w:type="dxa"/>
              <w:bottom w:w="85" w:type="dxa"/>
              <w:right w:w="85" w:type="dxa"/>
            </w:tcMar>
            <w:shd w:fill="F1F5F8"/>
          </w:tcPr>
          <w:p>
            <w:pPr>
              <w:spacing w:before="40" w:after="60" w:line="240" w:lineRule="auto"/>
            </w:pPr>
            <w:r>
              <w:rPr>
                <w:b w:val="0"/>
                <w:color w:val="000000"/>
                <w:sz w:val="22"/>
              </w:rPr>
              <w:t>C</w:t>
            </w:r>
          </w:p>
        </w:tc>
      </w:tr>
      <w:tr>
        <w:trPr>
          <w:cantSplit/>
        </w:trPr>
        <w:tc>
          <w:tcPr>
            <w:tcW w:type="dxa" w:w="5493"/>
            <w:vAlign w:val="center"/>
            <w:tcMar>
              <w:top w:w="85" w:type="dxa"/>
              <w:left w:w="85" w:type="dxa"/>
              <w:bottom w:w="85" w:type="dxa"/>
              <w:right w:w="85" w:type="dxa"/>
            </w:tcMar>
          </w:tcPr>
          <w:p>
            <w:pPr>
              <w:spacing w:before="40" w:after="60" w:line="240" w:lineRule="auto"/>
            </w:pPr>
            <w:r>
              <w:rPr>
                <w:b w:val="0"/>
                <w:color w:val="000000"/>
                <w:sz w:val="22"/>
              </w:rPr>
              <w:t>Acordar evaluación individual y calendario académico</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R en solicitar y documentar</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I</w:t>
            </w:r>
          </w:p>
        </w:tc>
        <w:tc>
          <w:tcPr>
            <w:tcW w:type="dxa" w:w="2281"/>
            <w:vAlign w:val="center"/>
            <w:tcMar>
              <w:top w:w="85" w:type="dxa"/>
              <w:left w:w="85" w:type="dxa"/>
              <w:bottom w:w="85" w:type="dxa"/>
              <w:right w:w="85" w:type="dxa"/>
            </w:tcMar>
          </w:tcPr>
          <w:p>
            <w:pPr>
              <w:spacing w:before="40" w:after="60" w:line="240" w:lineRule="auto"/>
            </w:pPr>
            <w:r>
              <w:rPr>
                <w:b w:val="0"/>
                <w:color w:val="000000"/>
                <w:sz w:val="22"/>
              </w:rPr>
              <w:t>A</w:t>
            </w:r>
          </w:p>
        </w:tc>
      </w:tr>
      <w:tr>
        <w:trPr>
          <w:cantSplit/>
        </w:trPr>
        <w:tc>
          <w:tcPr>
            <w:tcW w:type="dxa" w:w="5493"/>
            <w:vAlign w:val="center"/>
            <w:tcMar>
              <w:top w:w="85" w:type="dxa"/>
              <w:left w:w="85" w:type="dxa"/>
              <w:bottom w:w="85" w:type="dxa"/>
              <w:right w:w="85" w:type="dxa"/>
            </w:tcMar>
            <w:shd w:fill="F1F5F8"/>
          </w:tcPr>
          <w:p>
            <w:pPr>
              <w:spacing w:before="40" w:after="60" w:line="240" w:lineRule="auto"/>
            </w:pPr>
            <w:r>
              <w:rPr>
                <w:b w:val="0"/>
                <w:color w:val="000000"/>
                <w:sz w:val="22"/>
              </w:rPr>
              <w:t>Diseñar modelo e implementar API y Web</w:t>
            </w:r>
          </w:p>
        </w:tc>
        <w:tc>
          <w:tcPr>
            <w:tcW w:type="dxa" w:w="3342"/>
            <w:vAlign w:val="center"/>
            <w:tcMar>
              <w:top w:w="85" w:type="dxa"/>
              <w:left w:w="85" w:type="dxa"/>
              <w:bottom w:w="85" w:type="dxa"/>
              <w:right w:w="85" w:type="dxa"/>
            </w:tcMar>
            <w:shd w:fill="F1F5F8"/>
          </w:tcPr>
          <w:p>
            <w:pPr>
              <w:spacing w:before="40" w:after="60" w:line="240" w:lineRule="auto"/>
            </w:pPr>
            <w:r>
              <w:rPr>
                <w:b w:val="0"/>
                <w:color w:val="000000"/>
                <w:sz w:val="22"/>
              </w:rPr>
              <w:t>R/A</w:t>
            </w:r>
          </w:p>
        </w:tc>
        <w:tc>
          <w:tcPr>
            <w:tcW w:type="dxa" w:w="3342"/>
            <w:vAlign w:val="center"/>
            <w:tcMar>
              <w:top w:w="85" w:type="dxa"/>
              <w:left w:w="85" w:type="dxa"/>
              <w:bottom w:w="85" w:type="dxa"/>
              <w:right w:w="85" w:type="dxa"/>
            </w:tcMar>
            <w:shd w:fill="F1F5F8"/>
          </w:tcPr>
          <w:p>
            <w:pPr>
              <w:spacing w:before="40" w:after="60" w:line="240" w:lineRule="auto"/>
            </w:pPr>
            <w:r>
              <w:rPr>
                <w:b w:val="0"/>
                <w:color w:val="000000"/>
                <w:sz w:val="22"/>
              </w:rPr>
              <w:t>C</w:t>
            </w:r>
          </w:p>
        </w:tc>
        <w:tc>
          <w:tcPr>
            <w:tcW w:type="dxa" w:w="2281"/>
            <w:vAlign w:val="center"/>
            <w:tcMar>
              <w:top w:w="85" w:type="dxa"/>
              <w:left w:w="85" w:type="dxa"/>
              <w:bottom w:w="85" w:type="dxa"/>
              <w:right w:w="85" w:type="dxa"/>
            </w:tcMar>
            <w:shd w:fill="F1F5F8"/>
          </w:tcPr>
          <w:p>
            <w:pPr>
              <w:spacing w:before="40" w:after="60" w:line="240" w:lineRule="auto"/>
            </w:pPr>
            <w:r>
              <w:rPr>
                <w:b w:val="0"/>
                <w:color w:val="000000"/>
                <w:sz w:val="22"/>
              </w:rPr>
              <w:t>C</w:t>
            </w:r>
          </w:p>
        </w:tc>
      </w:tr>
      <w:tr>
        <w:trPr>
          <w:cantSplit/>
        </w:trPr>
        <w:tc>
          <w:tcPr>
            <w:tcW w:type="dxa" w:w="5493"/>
            <w:vAlign w:val="center"/>
            <w:tcMar>
              <w:top w:w="85" w:type="dxa"/>
              <w:left w:w="85" w:type="dxa"/>
              <w:bottom w:w="85" w:type="dxa"/>
              <w:right w:w="85" w:type="dxa"/>
            </w:tcMar>
          </w:tcPr>
          <w:p>
            <w:pPr>
              <w:spacing w:before="40" w:after="60" w:line="240" w:lineRule="auto"/>
            </w:pPr>
            <w:r>
              <w:rPr>
                <w:b w:val="0"/>
                <w:color w:val="000000"/>
                <w:sz w:val="22"/>
              </w:rPr>
              <w:t>Ejecutar pruebas técnicas y registrar resultados</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R/A</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C</w:t>
            </w:r>
          </w:p>
        </w:tc>
        <w:tc>
          <w:tcPr>
            <w:tcW w:type="dxa" w:w="2281"/>
            <w:vAlign w:val="center"/>
            <w:tcMar>
              <w:top w:w="85" w:type="dxa"/>
              <w:left w:w="85" w:type="dxa"/>
              <w:bottom w:w="85" w:type="dxa"/>
              <w:right w:w="85" w:type="dxa"/>
            </w:tcMar>
          </w:tcPr>
          <w:p>
            <w:pPr>
              <w:spacing w:before="40" w:after="60" w:line="240" w:lineRule="auto"/>
            </w:pPr>
            <w:r>
              <w:rPr>
                <w:b w:val="0"/>
                <w:color w:val="000000"/>
                <w:sz w:val="22"/>
              </w:rPr>
              <w:t>I</w:t>
            </w:r>
          </w:p>
        </w:tc>
      </w:tr>
      <w:tr>
        <w:trPr>
          <w:cantSplit/>
        </w:trPr>
        <w:tc>
          <w:tcPr>
            <w:tcW w:type="dxa" w:w="5493"/>
            <w:vAlign w:val="center"/>
            <w:tcMar>
              <w:top w:w="85" w:type="dxa"/>
              <w:left w:w="85" w:type="dxa"/>
              <w:bottom w:w="85" w:type="dxa"/>
              <w:right w:w="85" w:type="dxa"/>
            </w:tcMar>
            <w:shd w:fill="F1F5F8"/>
          </w:tcPr>
          <w:p>
            <w:pPr>
              <w:spacing w:before="40" w:after="60" w:line="240" w:lineRule="auto"/>
            </w:pPr>
            <w:r>
              <w:rPr>
                <w:b w:val="0"/>
                <w:color w:val="000000"/>
                <w:sz w:val="22"/>
              </w:rPr>
              <w:t>Realizar aceptación operativa</w:t>
            </w:r>
          </w:p>
        </w:tc>
        <w:tc>
          <w:tcPr>
            <w:tcW w:type="dxa" w:w="3342"/>
            <w:vAlign w:val="center"/>
            <w:tcMar>
              <w:top w:w="85" w:type="dxa"/>
              <w:left w:w="85" w:type="dxa"/>
              <w:bottom w:w="85" w:type="dxa"/>
              <w:right w:w="85" w:type="dxa"/>
            </w:tcMar>
            <w:shd w:fill="F1F5F8"/>
          </w:tcPr>
          <w:p>
            <w:pPr>
              <w:spacing w:before="40" w:after="60" w:line="240" w:lineRule="auto"/>
            </w:pPr>
            <w:r>
              <w:rPr>
                <w:b w:val="0"/>
                <w:color w:val="000000"/>
                <w:sz w:val="22"/>
              </w:rPr>
              <w:t>R en soporte y registro</w:t>
            </w:r>
          </w:p>
        </w:tc>
        <w:tc>
          <w:tcPr>
            <w:tcW w:type="dxa" w:w="3342"/>
            <w:vAlign w:val="center"/>
            <w:tcMar>
              <w:top w:w="85" w:type="dxa"/>
              <w:left w:w="85" w:type="dxa"/>
              <w:bottom w:w="85" w:type="dxa"/>
              <w:right w:w="85" w:type="dxa"/>
            </w:tcMar>
            <w:shd w:fill="F1F5F8"/>
          </w:tcPr>
          <w:p>
            <w:pPr>
              <w:spacing w:before="40" w:after="60" w:line="240" w:lineRule="auto"/>
            </w:pPr>
            <w:r>
              <w:rPr>
                <w:b w:val="0"/>
                <w:color w:val="000000"/>
                <w:sz w:val="22"/>
              </w:rPr>
              <w:t>A y usuarios R</w:t>
            </w:r>
          </w:p>
        </w:tc>
        <w:tc>
          <w:tcPr>
            <w:tcW w:type="dxa" w:w="2281"/>
            <w:vAlign w:val="center"/>
            <w:tcMar>
              <w:top w:w="85" w:type="dxa"/>
              <w:left w:w="85" w:type="dxa"/>
              <w:bottom w:w="85" w:type="dxa"/>
              <w:right w:w="85" w:type="dxa"/>
            </w:tcMar>
            <w:shd w:fill="F1F5F8"/>
          </w:tcPr>
          <w:p>
            <w:pPr>
              <w:spacing w:before="40" w:after="60" w:line="240" w:lineRule="auto"/>
            </w:pPr>
            <w:r>
              <w:rPr>
                <w:b w:val="0"/>
                <w:color w:val="000000"/>
                <w:sz w:val="22"/>
              </w:rPr>
              <w:t>I</w:t>
            </w:r>
          </w:p>
        </w:tc>
      </w:tr>
      <w:tr>
        <w:trPr>
          <w:cantSplit/>
        </w:trPr>
        <w:tc>
          <w:tcPr>
            <w:tcW w:type="dxa" w:w="5493"/>
            <w:vAlign w:val="center"/>
            <w:tcMar>
              <w:top w:w="85" w:type="dxa"/>
              <w:left w:w="85" w:type="dxa"/>
              <w:bottom w:w="85" w:type="dxa"/>
              <w:right w:w="85" w:type="dxa"/>
            </w:tcMar>
          </w:tcPr>
          <w:p>
            <w:pPr>
              <w:spacing w:before="40" w:after="60" w:line="240" w:lineRule="auto"/>
            </w:pPr>
            <w:r>
              <w:rPr>
                <w:b w:val="0"/>
                <w:color w:val="000000"/>
                <w:sz w:val="22"/>
              </w:rPr>
              <w:t>Preparar informe y defensa</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R/A</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C</w:t>
            </w:r>
          </w:p>
        </w:tc>
        <w:tc>
          <w:tcPr>
            <w:tcW w:type="dxa" w:w="2281"/>
            <w:vAlign w:val="center"/>
            <w:tcMar>
              <w:top w:w="85" w:type="dxa"/>
              <w:left w:w="85" w:type="dxa"/>
              <w:bottom w:w="85" w:type="dxa"/>
              <w:right w:w="85" w:type="dxa"/>
            </w:tcMar>
          </w:tcPr>
          <w:p>
            <w:pPr>
              <w:spacing w:before="40" w:after="60" w:line="240" w:lineRule="auto"/>
            </w:pPr>
            <w:r>
              <w:rPr>
                <w:b w:val="0"/>
                <w:color w:val="000000"/>
                <w:sz w:val="22"/>
              </w:rPr>
              <w:t>I</w:t>
            </w:r>
          </w:p>
        </w:tc>
      </w:tr>
      <w:tr>
        <w:trPr>
          <w:cantSplit/>
        </w:trPr>
        <w:tc>
          <w:tcPr>
            <w:tcW w:type="dxa" w:w="5493"/>
            <w:vAlign w:val="center"/>
            <w:tcMar>
              <w:top w:w="85" w:type="dxa"/>
              <w:left w:w="85" w:type="dxa"/>
              <w:bottom w:w="85" w:type="dxa"/>
              <w:right w:w="85" w:type="dxa"/>
            </w:tcMar>
            <w:shd w:fill="F1F5F8"/>
          </w:tcPr>
          <w:p>
            <w:pPr>
              <w:keepNext/>
              <w:spacing w:before="40" w:after="60" w:line="240" w:lineRule="auto"/>
            </w:pPr>
            <w:r>
              <w:rPr>
                <w:b w:val="0"/>
                <w:color w:val="000000"/>
                <w:sz w:val="22"/>
              </w:rPr>
              <w:t>Evaluar entregables académicos</w:t>
            </w:r>
          </w:p>
        </w:tc>
        <w:tc>
          <w:tcPr>
            <w:tcW w:type="dxa" w:w="3342"/>
            <w:vAlign w:val="center"/>
            <w:tcMar>
              <w:top w:w="85" w:type="dxa"/>
              <w:left w:w="85" w:type="dxa"/>
              <w:bottom w:w="85" w:type="dxa"/>
              <w:right w:w="85" w:type="dxa"/>
            </w:tcMar>
            <w:shd w:fill="F1F5F8"/>
          </w:tcPr>
          <w:p>
            <w:pPr>
              <w:keepNext/>
              <w:spacing w:before="40" w:after="60" w:line="240" w:lineRule="auto"/>
            </w:pPr>
            <w:r>
              <w:rPr>
                <w:b w:val="0"/>
                <w:color w:val="000000"/>
                <w:sz w:val="22"/>
              </w:rPr>
              <w:t>R en entregar evidencia</w:t>
            </w:r>
          </w:p>
        </w:tc>
        <w:tc>
          <w:tcPr>
            <w:tcW w:type="dxa" w:w="3342"/>
            <w:vAlign w:val="center"/>
            <w:tcMar>
              <w:top w:w="85" w:type="dxa"/>
              <w:left w:w="85" w:type="dxa"/>
              <w:bottom w:w="85" w:type="dxa"/>
              <w:right w:w="85" w:type="dxa"/>
            </w:tcMar>
            <w:shd w:fill="F1F5F8"/>
          </w:tcPr>
          <w:p>
            <w:pPr>
              <w:keepNext/>
              <w:spacing w:before="40" w:after="60" w:line="240" w:lineRule="auto"/>
            </w:pPr>
            <w:r>
              <w:rPr>
                <w:b w:val="0"/>
                <w:color w:val="000000"/>
                <w:sz w:val="22"/>
              </w:rPr>
              <w:t>I</w:t>
            </w:r>
          </w:p>
        </w:tc>
        <w:tc>
          <w:tcPr>
            <w:tcW w:type="dxa" w:w="2281"/>
            <w:vAlign w:val="center"/>
            <w:tcMar>
              <w:top w:w="85" w:type="dxa"/>
              <w:left w:w="85" w:type="dxa"/>
              <w:bottom w:w="85" w:type="dxa"/>
              <w:right w:w="85" w:type="dxa"/>
            </w:tcMar>
            <w:shd w:fill="F1F5F8"/>
          </w:tcPr>
          <w:p>
            <w:pPr>
              <w:keepNext/>
              <w:spacing w:before="40" w:after="60" w:line="240" w:lineRule="auto"/>
            </w:pPr>
            <w:r>
              <w:rPr>
                <w:b w:val="0"/>
                <w:color w:val="000000"/>
                <w:sz w:val="22"/>
              </w:rPr>
              <w:t>A</w:t>
            </w:r>
          </w:p>
        </w:tc>
      </w:tr>
      <w:tr>
        <w:trPr>
          <w:cantSplit/>
        </w:trPr>
        <w:tc>
          <w:tcPr>
            <w:tcW w:type="dxa" w:w="5493"/>
            <w:vAlign w:val="center"/>
            <w:tcMar>
              <w:top w:w="85" w:type="dxa"/>
              <w:left w:w="85" w:type="dxa"/>
              <w:bottom w:w="85" w:type="dxa"/>
              <w:right w:w="85" w:type="dxa"/>
            </w:tcMar>
          </w:tcPr>
          <w:p>
            <w:pPr>
              <w:spacing w:before="40" w:after="60" w:line="240" w:lineRule="auto"/>
            </w:pPr>
            <w:r>
              <w:rPr>
                <w:b w:val="0"/>
                <w:color w:val="000000"/>
                <w:sz w:val="22"/>
              </w:rPr>
              <w:t>Planificar transferencia y despliegue</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R</w:t>
            </w:r>
          </w:p>
        </w:tc>
        <w:tc>
          <w:tcPr>
            <w:tcW w:type="dxa" w:w="3342"/>
            <w:vAlign w:val="center"/>
            <w:tcMar>
              <w:top w:w="85" w:type="dxa"/>
              <w:left w:w="85" w:type="dxa"/>
              <w:bottom w:w="85" w:type="dxa"/>
              <w:right w:w="85" w:type="dxa"/>
            </w:tcMar>
          </w:tcPr>
          <w:p>
            <w:pPr>
              <w:spacing w:before="40" w:after="60" w:line="240" w:lineRule="auto"/>
            </w:pPr>
            <w:r>
              <w:rPr>
                <w:b w:val="0"/>
                <w:color w:val="000000"/>
                <w:sz w:val="22"/>
              </w:rPr>
              <w:t>A para aceptación operativa</w:t>
            </w:r>
          </w:p>
        </w:tc>
        <w:tc>
          <w:tcPr>
            <w:tcW w:type="dxa" w:w="2281"/>
            <w:vAlign w:val="center"/>
            <w:tcMar>
              <w:top w:w="85" w:type="dxa"/>
              <w:left w:w="85" w:type="dxa"/>
              <w:bottom w:w="85" w:type="dxa"/>
              <w:right w:w="85" w:type="dxa"/>
            </w:tcMar>
          </w:tcPr>
          <w:p>
            <w:pPr>
              <w:spacing w:before="40" w:after="60" w:line="240" w:lineRule="auto"/>
            </w:pPr>
            <w:r>
              <w:rPr>
                <w:b w:val="0"/>
                <w:color w:val="000000"/>
                <w:sz w:val="22"/>
              </w:rPr>
              <w:t>C</w:t>
            </w:r>
          </w:p>
        </w:tc>
      </w:tr>
    </w:tbl>
    <w:p>
      <w:pPr>
        <w:spacing w:after="0"/>
      </w:pPr>
    </w:p>
    <w:p>
      <w:pPr>
        <w:pStyle w:val="Heading1"/>
      </w:pPr>
      <w:r>
        <w:t>3 Funciones operativas por rol</w:t>
      </w:r>
    </w:p>
    <w:p>
      <w:r>
        <w:t>Los antecedentes y criterios de esta tabla se apoyan en las fuentes [2], [3], [5], [6]. La asignación y el estado de la versión actual corresponden al corte documental del 28 de octubre de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gridCol w:w="4819"/>
      </w:tblGrid>
      <w:tr>
        <w:trPr>
          <w:tblHeader/>
        </w:trPr>
        <w:tc>
          <w:tcPr>
            <w:tcW w:type="dxa" w:w="5270"/>
            <w:vAlign w:val="center"/>
            <w:tcMar>
              <w:top w:w="85" w:type="dxa"/>
              <w:left w:w="85" w:type="dxa"/>
              <w:bottom w:w="85" w:type="dxa"/>
              <w:right w:w="85" w:type="dxa"/>
            </w:tcMar>
            <w:shd w:fill="24445F"/>
          </w:tcPr>
          <w:p>
            <w:pPr>
              <w:keepNext/>
              <w:spacing w:before="40" w:after="60" w:line="240" w:lineRule="auto"/>
            </w:pPr>
            <w:r>
              <w:rPr>
                <w:b/>
                <w:color w:val="FFFFFF"/>
                <w:sz w:val="22"/>
              </w:rPr>
              <w:t>Actividad</w:t>
            </w:r>
          </w:p>
        </w:tc>
        <w:tc>
          <w:tcPr>
            <w:tcW w:type="dxa" w:w="3916"/>
            <w:vAlign w:val="center"/>
            <w:tcMar>
              <w:top w:w="85" w:type="dxa"/>
              <w:left w:w="85" w:type="dxa"/>
              <w:bottom w:w="85" w:type="dxa"/>
              <w:right w:w="85" w:type="dxa"/>
            </w:tcMar>
            <w:shd w:fill="24445F"/>
          </w:tcPr>
          <w:p>
            <w:pPr>
              <w:keepNext/>
              <w:spacing w:before="40" w:after="60" w:line="240" w:lineRule="auto"/>
            </w:pPr>
            <w:r>
              <w:rPr>
                <w:b/>
                <w:color w:val="FFFFFF"/>
                <w:sz w:val="22"/>
              </w:rPr>
              <w:t>Responsable operativo</w:t>
            </w:r>
          </w:p>
        </w:tc>
        <w:tc>
          <w:tcPr>
            <w:tcW w:type="dxa" w:w="5270"/>
            <w:vAlign w:val="center"/>
            <w:tcMar>
              <w:top w:w="85" w:type="dxa"/>
              <w:left w:w="85" w:type="dxa"/>
              <w:bottom w:w="85" w:type="dxa"/>
              <w:right w:w="85" w:type="dxa"/>
            </w:tcMar>
            <w:shd w:fill="24445F"/>
          </w:tcPr>
          <w:p>
            <w:pPr>
              <w:keepNext/>
              <w:spacing w:before="40" w:after="60" w:line="240" w:lineRule="auto"/>
            </w:pPr>
            <w:r>
              <w:rPr>
                <w:b/>
                <w:color w:val="FFFFFF"/>
                <w:sz w:val="22"/>
              </w:rPr>
              <w:t>Condición o alcance</w:t>
            </w:r>
          </w:p>
        </w:tc>
      </w:tr>
      <w:tr>
        <w:trPr>
          <w:cantSplit/>
        </w:trPr>
        <w:tc>
          <w:tcPr>
            <w:tcW w:type="dxa" w:w="5270"/>
            <w:vAlign w:val="center"/>
            <w:tcMar>
              <w:top w:w="85" w:type="dxa"/>
              <w:left w:w="85" w:type="dxa"/>
              <w:bottom w:w="85" w:type="dxa"/>
              <w:right w:w="85" w:type="dxa"/>
            </w:tcMar>
          </w:tcPr>
          <w:p>
            <w:pPr>
              <w:spacing w:before="40" w:after="60" w:line="240" w:lineRule="auto"/>
            </w:pPr>
            <w:r>
              <w:rPr>
                <w:b w:val="0"/>
                <w:color w:val="000000"/>
                <w:sz w:val="22"/>
              </w:rPr>
              <w:t>Registrar catálogo y cilindros, consultar inventario y pesaje inicial</w:t>
            </w:r>
          </w:p>
        </w:tc>
        <w:tc>
          <w:tcPr>
            <w:tcW w:type="dxa" w:w="3916"/>
            <w:vAlign w:val="center"/>
            <w:tcMar>
              <w:top w:w="85" w:type="dxa"/>
              <w:left w:w="85" w:type="dxa"/>
              <w:bottom w:w="85" w:type="dxa"/>
              <w:right w:w="85" w:type="dxa"/>
            </w:tcMar>
          </w:tcPr>
          <w:p>
            <w:pPr>
              <w:spacing w:before="40" w:after="60" w:line="240" w:lineRule="auto"/>
            </w:pPr>
            <w:r>
              <w:rPr>
                <w:b w:val="0"/>
                <w:color w:val="000000"/>
                <w:sz w:val="22"/>
              </w:rPr>
              <w:t>Bodega en el prototipo</w:t>
            </w:r>
          </w:p>
        </w:tc>
        <w:tc>
          <w:tcPr>
            <w:tcW w:type="dxa" w:w="5270"/>
            <w:vAlign w:val="center"/>
            <w:tcMar>
              <w:top w:w="85" w:type="dxa"/>
              <w:left w:w="85" w:type="dxa"/>
              <w:bottom w:w="85" w:type="dxa"/>
              <w:right w:w="85" w:type="dxa"/>
            </w:tcMar>
          </w:tcPr>
          <w:p>
            <w:pPr>
              <w:spacing w:before="40" w:after="60" w:line="240" w:lineRule="auto"/>
            </w:pPr>
            <w:r>
              <w:rPr>
                <w:b w:val="0"/>
                <w:color w:val="000000"/>
                <w:sz w:val="22"/>
              </w:rPr>
              <w:t>Acciones sujetas a control de acceso; reglas de altas definitivas por validar.</w:t>
            </w:r>
          </w:p>
        </w:tc>
      </w:tr>
      <w:tr>
        <w:trPr>
          <w:cantSplit/>
        </w:trPr>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Crear y autorizar OT y asignar Técnico</w:t>
            </w:r>
          </w:p>
        </w:tc>
        <w:tc>
          <w:tcPr>
            <w:tcW w:type="dxa" w:w="3916"/>
            <w:vAlign w:val="center"/>
            <w:tcMar>
              <w:top w:w="85" w:type="dxa"/>
              <w:left w:w="85" w:type="dxa"/>
              <w:bottom w:w="85" w:type="dxa"/>
              <w:right w:w="85" w:type="dxa"/>
            </w:tcMar>
            <w:shd w:fill="F1F5F8"/>
          </w:tcPr>
          <w:p>
            <w:pPr>
              <w:spacing w:before="40" w:after="60" w:line="240" w:lineRule="auto"/>
            </w:pPr>
            <w:r>
              <w:rPr>
                <w:b w:val="0"/>
                <w:color w:val="000000"/>
                <w:sz w:val="22"/>
              </w:rPr>
              <w:t>Autorizador</w:t>
            </w:r>
          </w:p>
        </w:tc>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En el prototipo se realiza en una misma acción; solicitud y aprobación separadas pendientes.</w:t>
            </w:r>
          </w:p>
        </w:tc>
      </w:tr>
      <w:tr>
        <w:trPr>
          <w:cantSplit/>
        </w:trPr>
        <w:tc>
          <w:tcPr>
            <w:tcW w:type="dxa" w:w="5270"/>
            <w:vAlign w:val="center"/>
            <w:tcMar>
              <w:top w:w="85" w:type="dxa"/>
              <w:left w:w="85" w:type="dxa"/>
              <w:bottom w:w="85" w:type="dxa"/>
              <w:right w:w="85" w:type="dxa"/>
            </w:tcMar>
          </w:tcPr>
          <w:p>
            <w:pPr>
              <w:spacing w:before="40" w:after="60" w:line="240" w:lineRule="auto"/>
            </w:pPr>
            <w:r>
              <w:rPr>
                <w:b w:val="0"/>
                <w:color w:val="000000"/>
                <w:sz w:val="22"/>
              </w:rPr>
              <w:t>Seleccionar y retirar cilindros con peso y foto</w:t>
            </w:r>
          </w:p>
        </w:tc>
        <w:tc>
          <w:tcPr>
            <w:tcW w:type="dxa" w:w="3916"/>
            <w:vAlign w:val="center"/>
            <w:tcMar>
              <w:top w:w="85" w:type="dxa"/>
              <w:left w:w="85" w:type="dxa"/>
              <w:bottom w:w="85" w:type="dxa"/>
              <w:right w:w="85" w:type="dxa"/>
            </w:tcMar>
          </w:tcPr>
          <w:p>
            <w:pPr>
              <w:spacing w:before="40" w:after="60" w:line="240" w:lineRule="auto"/>
            </w:pPr>
            <w:r>
              <w:rPr>
                <w:b w:val="0"/>
                <w:color w:val="000000"/>
                <w:sz w:val="22"/>
              </w:rPr>
              <w:t>Técnico asignado</w:t>
            </w:r>
          </w:p>
        </w:tc>
        <w:tc>
          <w:tcPr>
            <w:tcW w:type="dxa" w:w="5270"/>
            <w:vAlign w:val="center"/>
            <w:tcMar>
              <w:top w:w="85" w:type="dxa"/>
              <w:left w:w="85" w:type="dxa"/>
              <w:bottom w:w="85" w:type="dxa"/>
              <w:right w:w="85" w:type="dxa"/>
            </w:tcMar>
          </w:tcPr>
          <w:p>
            <w:pPr>
              <w:spacing w:before="40" w:after="60" w:line="240" w:lineRule="auto"/>
            </w:pPr>
            <w:r>
              <w:rPr>
                <w:b w:val="0"/>
                <w:color w:val="000000"/>
                <w:sz w:val="22"/>
              </w:rPr>
              <w:t>Solo envases elegibles del refrigerante encargado; requiere conexión.</w:t>
            </w:r>
          </w:p>
        </w:tc>
      </w:tr>
      <w:tr>
        <w:trPr>
          <w:cantSplit/>
        </w:trPr>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Ejecutar reemplazo o agregado y registrar pesajes y fotos</w:t>
            </w:r>
          </w:p>
        </w:tc>
        <w:tc>
          <w:tcPr>
            <w:tcW w:type="dxa" w:w="3916"/>
            <w:vAlign w:val="center"/>
            <w:tcMar>
              <w:top w:w="85" w:type="dxa"/>
              <w:left w:w="85" w:type="dxa"/>
              <w:bottom w:w="85" w:type="dxa"/>
              <w:right w:w="85" w:type="dxa"/>
            </w:tcMar>
            <w:shd w:fill="F1F5F8"/>
          </w:tcPr>
          <w:p>
            <w:pPr>
              <w:spacing w:before="40" w:after="60" w:line="240" w:lineRule="auto"/>
            </w:pPr>
            <w:r>
              <w:rPr>
                <w:b w:val="0"/>
                <w:color w:val="000000"/>
                <w:sz w:val="22"/>
              </w:rPr>
              <w:t>Técnico asignado</w:t>
            </w:r>
          </w:p>
        </w:tc>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Distinguir retirado e instalado; no inferir recarga del equipo.</w:t>
            </w:r>
          </w:p>
        </w:tc>
      </w:tr>
      <w:tr>
        <w:trPr>
          <w:cantSplit/>
        </w:trPr>
        <w:tc>
          <w:tcPr>
            <w:tcW w:type="dxa" w:w="5270"/>
            <w:vAlign w:val="center"/>
            <w:tcMar>
              <w:top w:w="85" w:type="dxa"/>
              <w:left w:w="85" w:type="dxa"/>
              <w:bottom w:w="85" w:type="dxa"/>
              <w:right w:w="85" w:type="dxa"/>
            </w:tcMar>
          </w:tcPr>
          <w:p>
            <w:pPr>
              <w:spacing w:before="40" w:after="60" w:line="240" w:lineRule="auto"/>
            </w:pPr>
            <w:r>
              <w:rPr>
                <w:b w:val="0"/>
                <w:color w:val="000000"/>
                <w:sz w:val="22"/>
              </w:rPr>
              <w:t>Informar devolución y término</w:t>
            </w:r>
          </w:p>
        </w:tc>
        <w:tc>
          <w:tcPr>
            <w:tcW w:type="dxa" w:w="3916"/>
            <w:vAlign w:val="center"/>
            <w:tcMar>
              <w:top w:w="85" w:type="dxa"/>
              <w:left w:w="85" w:type="dxa"/>
              <w:bottom w:w="85" w:type="dxa"/>
              <w:right w:w="85" w:type="dxa"/>
            </w:tcMar>
          </w:tcPr>
          <w:p>
            <w:pPr>
              <w:spacing w:before="40" w:after="60" w:line="240" w:lineRule="auto"/>
            </w:pPr>
            <w:r>
              <w:rPr>
                <w:b w:val="0"/>
                <w:color w:val="000000"/>
                <w:sz w:val="22"/>
              </w:rPr>
              <w:t>Técnico asignado</w:t>
            </w:r>
          </w:p>
        </w:tc>
        <w:tc>
          <w:tcPr>
            <w:tcW w:type="dxa" w:w="5270"/>
            <w:vAlign w:val="center"/>
            <w:tcMar>
              <w:top w:w="85" w:type="dxa"/>
              <w:left w:w="85" w:type="dxa"/>
              <w:bottom w:w="85" w:type="dxa"/>
              <w:right w:w="85" w:type="dxa"/>
            </w:tcMar>
          </w:tcPr>
          <w:p>
            <w:pPr>
              <w:spacing w:before="40" w:after="60" w:line="240" w:lineRule="auto"/>
            </w:pPr>
            <w:r>
              <w:rPr>
                <w:b w:val="0"/>
                <w:color w:val="000000"/>
                <w:sz w:val="22"/>
              </w:rPr>
              <w:t>No equivale a recepción física ni aprobación.</w:t>
            </w:r>
          </w:p>
        </w:tc>
      </w:tr>
      <w:tr>
        <w:trPr>
          <w:cantSplit/>
        </w:trPr>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Confirmar recepción, peso y aprobación</w:t>
            </w:r>
          </w:p>
        </w:tc>
        <w:tc>
          <w:tcPr>
            <w:tcW w:type="dxa" w:w="3916"/>
            <w:vAlign w:val="center"/>
            <w:tcMar>
              <w:top w:w="85" w:type="dxa"/>
              <w:left w:w="85" w:type="dxa"/>
              <w:bottom w:w="85" w:type="dxa"/>
              <w:right w:w="85" w:type="dxa"/>
            </w:tcMar>
            <w:shd w:fill="F1F5F8"/>
          </w:tcPr>
          <w:p>
            <w:pPr>
              <w:spacing w:before="40" w:after="60" w:line="240" w:lineRule="auto"/>
            </w:pPr>
            <w:r>
              <w:rPr>
                <w:b w:val="0"/>
                <w:color w:val="000000"/>
                <w:sz w:val="22"/>
              </w:rPr>
              <w:t>Bodega</w:t>
            </w:r>
          </w:p>
        </w:tc>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La recepción del retirado exige devolución informada. La aprobación exige término técnico y resolución de retirados y envases sin uso pendientes.</w:t>
            </w:r>
          </w:p>
        </w:tc>
      </w:tr>
      <w:tr>
        <w:trPr>
          <w:cantSplit/>
        </w:trPr>
        <w:tc>
          <w:tcPr>
            <w:tcW w:type="dxa" w:w="5270"/>
            <w:vAlign w:val="center"/>
            <w:tcMar>
              <w:top w:w="85" w:type="dxa"/>
              <w:left w:w="85" w:type="dxa"/>
              <w:bottom w:w="85" w:type="dxa"/>
              <w:right w:w="85" w:type="dxa"/>
            </w:tcMar>
          </w:tcPr>
          <w:p>
            <w:pPr>
              <w:spacing w:before="40" w:after="60" w:line="240" w:lineRule="auto"/>
            </w:pPr>
            <w:r>
              <w:rPr>
                <w:b w:val="0"/>
                <w:color w:val="000000"/>
                <w:sz w:val="22"/>
              </w:rPr>
              <w:t>Revisar fotografías y registros y cerrar administrativamente</w:t>
            </w:r>
          </w:p>
        </w:tc>
        <w:tc>
          <w:tcPr>
            <w:tcW w:type="dxa" w:w="3916"/>
            <w:vAlign w:val="center"/>
            <w:tcMar>
              <w:top w:w="85" w:type="dxa"/>
              <w:left w:w="85" w:type="dxa"/>
              <w:bottom w:w="85" w:type="dxa"/>
              <w:right w:w="85" w:type="dxa"/>
            </w:tcMar>
          </w:tcPr>
          <w:p>
            <w:pPr>
              <w:spacing w:before="40" w:after="60" w:line="240" w:lineRule="auto"/>
            </w:pPr>
            <w:r>
              <w:rPr>
                <w:b w:val="0"/>
                <w:color w:val="000000"/>
                <w:sz w:val="22"/>
              </w:rPr>
              <w:t>Autorizador</w:t>
            </w:r>
          </w:p>
        </w:tc>
        <w:tc>
          <w:tcPr>
            <w:tcW w:type="dxa" w:w="5270"/>
            <w:vAlign w:val="center"/>
            <w:tcMar>
              <w:top w:w="85" w:type="dxa"/>
              <w:left w:w="85" w:type="dxa"/>
              <w:bottom w:w="85" w:type="dxa"/>
              <w:right w:w="85" w:type="dxa"/>
            </w:tcMar>
          </w:tcPr>
          <w:p>
            <w:pPr>
              <w:spacing w:before="40" w:after="60" w:line="240" w:lineRule="auto"/>
            </w:pPr>
            <w:r>
              <w:rPr>
                <w:b w:val="0"/>
                <w:color w:val="000000"/>
                <w:sz w:val="22"/>
              </w:rPr>
              <w:t>Después de aprobación de Bodega y resolución de incidencias requeridas.</w:t>
            </w:r>
          </w:p>
        </w:tc>
      </w:tr>
      <w:tr>
        <w:trPr>
          <w:cantSplit/>
        </w:trPr>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Definir límites semanales y mensuales habilitados</w:t>
            </w:r>
          </w:p>
        </w:tc>
        <w:tc>
          <w:tcPr>
            <w:tcW w:type="dxa" w:w="3916"/>
            <w:vAlign w:val="center"/>
            <w:tcMar>
              <w:top w:w="85" w:type="dxa"/>
              <w:left w:w="85" w:type="dxa"/>
              <w:bottom w:w="85" w:type="dxa"/>
              <w:right w:w="85" w:type="dxa"/>
            </w:tcMar>
            <w:shd w:fill="F1F5F8"/>
          </w:tcPr>
          <w:p>
            <w:pPr>
              <w:spacing w:before="40" w:after="60" w:line="240" w:lineRule="auto"/>
            </w:pPr>
            <w:r>
              <w:rPr>
                <w:b w:val="0"/>
                <w:color w:val="000000"/>
                <w:sz w:val="22"/>
              </w:rPr>
              <w:t>Bodega y Jefatura según regla acordada</w:t>
            </w:r>
          </w:p>
        </w:tc>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Prioridad de Jefatura; cómputo e implementación API pendientes.</w:t>
            </w:r>
          </w:p>
        </w:tc>
      </w:tr>
      <w:tr>
        <w:trPr>
          <w:cantSplit/>
        </w:trPr>
        <w:tc>
          <w:tcPr>
            <w:tcW w:type="dxa" w:w="5270"/>
            <w:vAlign w:val="center"/>
            <w:tcMar>
              <w:top w:w="85" w:type="dxa"/>
              <w:left w:w="85" w:type="dxa"/>
              <w:bottom w:w="85" w:type="dxa"/>
              <w:right w:w="85" w:type="dxa"/>
            </w:tcMar>
          </w:tcPr>
          <w:p>
            <w:pPr>
              <w:spacing w:before="40" w:after="60" w:line="240" w:lineRule="auto"/>
            </w:pPr>
            <w:r>
              <w:rPr>
                <w:b w:val="0"/>
                <w:color w:val="000000"/>
                <w:sz w:val="22"/>
              </w:rPr>
              <w:t>Modificar límite protegido o rehabilitar su edición</w:t>
            </w:r>
          </w:p>
        </w:tc>
        <w:tc>
          <w:tcPr>
            <w:tcW w:type="dxa" w:w="3916"/>
            <w:vAlign w:val="center"/>
            <w:tcMar>
              <w:top w:w="85" w:type="dxa"/>
              <w:left w:w="85" w:type="dxa"/>
              <w:bottom w:w="85" w:type="dxa"/>
              <w:right w:w="85" w:type="dxa"/>
            </w:tcMar>
          </w:tcPr>
          <w:p>
            <w:pPr>
              <w:spacing w:before="40" w:after="60" w:line="240" w:lineRule="auto"/>
            </w:pPr>
            <w:r>
              <w:rPr>
                <w:b w:val="0"/>
                <w:color w:val="000000"/>
                <w:sz w:val="22"/>
              </w:rPr>
              <w:t>Jefatura</w:t>
            </w:r>
          </w:p>
        </w:tc>
        <w:tc>
          <w:tcPr>
            <w:tcW w:type="dxa" w:w="5270"/>
            <w:vAlign w:val="center"/>
            <w:tcMar>
              <w:top w:w="85" w:type="dxa"/>
              <w:left w:w="85" w:type="dxa"/>
              <w:bottom w:w="85" w:type="dxa"/>
              <w:right w:w="85" w:type="dxa"/>
            </w:tcMar>
          </w:tcPr>
          <w:p>
            <w:pPr>
              <w:spacing w:before="40" w:after="60" w:line="240" w:lineRule="auto"/>
            </w:pPr>
            <w:r>
              <w:rPr>
                <w:b w:val="0"/>
                <w:color w:val="000000"/>
                <w:sz w:val="22"/>
              </w:rPr>
              <w:t>Autorizador y Bodega no pueden invalidar la protección de Jefatura.</w:t>
            </w:r>
          </w:p>
        </w:tc>
      </w:tr>
      <w:tr>
        <w:trPr>
          <w:cantSplit/>
        </w:trPr>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Investigar excesos</w:t>
            </w:r>
          </w:p>
        </w:tc>
        <w:tc>
          <w:tcPr>
            <w:tcW w:type="dxa" w:w="3916"/>
            <w:vAlign w:val="center"/>
            <w:tcMar>
              <w:top w:w="85" w:type="dxa"/>
              <w:left w:w="85" w:type="dxa"/>
              <w:bottom w:w="85" w:type="dxa"/>
              <w:right w:w="85" w:type="dxa"/>
            </w:tcMar>
            <w:shd w:fill="F1F5F8"/>
          </w:tcPr>
          <w:p>
            <w:pPr>
              <w:spacing w:before="40" w:after="60" w:line="240" w:lineRule="auto"/>
            </w:pPr>
            <w:r>
              <w:rPr>
                <w:b w:val="0"/>
                <w:color w:val="000000"/>
                <w:sz w:val="22"/>
              </w:rPr>
              <w:t>Jefatura</w:t>
            </w:r>
          </w:p>
        </w:tc>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Conservar antecedentes y participantes para investigación; no atribuir culpabilidad automáticamente.</w:t>
            </w:r>
          </w:p>
        </w:tc>
      </w:tr>
      <w:tr>
        <w:trPr>
          <w:cantSplit/>
        </w:trPr>
        <w:tc>
          <w:tcPr>
            <w:tcW w:type="dxa" w:w="5270"/>
            <w:vAlign w:val="center"/>
            <w:tcMar>
              <w:top w:w="85" w:type="dxa"/>
              <w:left w:w="85" w:type="dxa"/>
              <w:bottom w:w="85" w:type="dxa"/>
              <w:right w:w="85" w:type="dxa"/>
            </w:tcMar>
          </w:tcPr>
          <w:p>
            <w:pPr>
              <w:keepNext/>
              <w:spacing w:before="40" w:after="60" w:line="240" w:lineRule="auto"/>
            </w:pPr>
            <w:r>
              <w:rPr>
                <w:b w:val="0"/>
                <w:color w:val="000000"/>
                <w:sz w:val="22"/>
              </w:rPr>
              <w:t>Aprobar rectificaciones materiales</w:t>
            </w:r>
          </w:p>
        </w:tc>
        <w:tc>
          <w:tcPr>
            <w:tcW w:type="dxa" w:w="3916"/>
            <w:vAlign w:val="center"/>
            <w:tcMar>
              <w:top w:w="85" w:type="dxa"/>
              <w:left w:w="85" w:type="dxa"/>
              <w:bottom w:w="85" w:type="dxa"/>
              <w:right w:w="85" w:type="dxa"/>
            </w:tcMar>
          </w:tcPr>
          <w:p>
            <w:pPr>
              <w:keepNext/>
              <w:spacing w:before="40" w:after="60" w:line="240" w:lineRule="auto"/>
            </w:pPr>
            <w:r>
              <w:rPr>
                <w:b w:val="0"/>
                <w:color w:val="000000"/>
                <w:sz w:val="22"/>
              </w:rPr>
              <w:t>Responsable definitivo por confirmar</w:t>
            </w:r>
          </w:p>
        </w:tc>
        <w:tc>
          <w:tcPr>
            <w:tcW w:type="dxa" w:w="5270"/>
            <w:vAlign w:val="center"/>
            <w:tcMar>
              <w:top w:w="85" w:type="dxa"/>
              <w:left w:w="85" w:type="dxa"/>
              <w:bottom w:w="85" w:type="dxa"/>
              <w:right w:w="85" w:type="dxa"/>
            </w:tcMar>
          </w:tcPr>
          <w:p>
            <w:pPr>
              <w:keepNext/>
              <w:spacing w:before="40" w:after="60" w:line="240" w:lineRule="auto"/>
            </w:pPr>
            <w:r>
              <w:rPr>
                <w:b w:val="0"/>
                <w:color w:val="000000"/>
                <w:sz w:val="22"/>
              </w:rPr>
              <w:t>Conservar valores y evidencia originales; no modificar pesos automáticamente.</w:t>
            </w:r>
          </w:p>
        </w:tc>
      </w:tr>
      <w:tr>
        <w:trPr>
          <w:cantSplit/>
        </w:trPr>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Registrar bajas y certificados Regener</w:t>
            </w:r>
          </w:p>
        </w:tc>
        <w:tc>
          <w:tcPr>
            <w:tcW w:type="dxa" w:w="3916"/>
            <w:vAlign w:val="center"/>
            <w:tcMar>
              <w:top w:w="85" w:type="dxa"/>
              <w:left w:w="85" w:type="dxa"/>
              <w:bottom w:w="85" w:type="dxa"/>
              <w:right w:w="85" w:type="dxa"/>
            </w:tcMar>
            <w:shd w:fill="F1F5F8"/>
          </w:tcPr>
          <w:p>
            <w:pPr>
              <w:spacing w:before="40" w:after="60" w:line="240" w:lineRule="auto"/>
            </w:pPr>
            <w:r>
              <w:rPr>
                <w:b w:val="0"/>
                <w:color w:val="000000"/>
                <w:sz w:val="22"/>
              </w:rPr>
              <w:t>Responsable definitivo por confirmar</w:t>
            </w:r>
          </w:p>
        </w:tc>
        <w:tc>
          <w:tcPr>
            <w:tcW w:type="dxa" w:w="5270"/>
            <w:vAlign w:val="center"/>
            <w:tcMar>
              <w:top w:w="85" w:type="dxa"/>
              <w:left w:w="85" w:type="dxa"/>
              <w:bottom w:w="85" w:type="dxa"/>
              <w:right w:w="85" w:type="dxa"/>
            </w:tcMar>
            <w:shd w:fill="F1F5F8"/>
          </w:tcPr>
          <w:p>
            <w:pPr>
              <w:spacing w:before="40" w:after="60" w:line="240" w:lineRule="auto"/>
            </w:pPr>
            <w:r>
              <w:rPr>
                <w:b w:val="0"/>
                <w:color w:val="000000"/>
                <w:sz w:val="22"/>
              </w:rPr>
              <w:t>No asignar un permiso por simple jerarquía.</w:t>
            </w:r>
          </w:p>
        </w:tc>
      </w:tr>
    </w:tbl>
    <w:p>
      <w:pPr>
        <w:spacing w:after="0"/>
      </w:pPr>
    </w:p>
    <w:p>
      <w:pPr>
        <w:pStyle w:val="Heading1"/>
      </w:pPr>
      <w:r>
        <w:t>4 Separación de deberes y pendientes</w:t>
      </w:r>
    </w:p>
    <w:p>
      <w:r>
        <w:t>La jerarquía de negocio es Bodega, Autorizador y Jefatura, de menor a mayor. No implica herencia de todas las funciones. El Técnico no ocupa automáticamente un nivel de esa cadena. El Administrador conserva la función prevista en el diseño, pero no se le atribuyen por inferencia autorizaciones de negocio. [3] [6]</w:t>
      </w:r>
    </w:p>
    <w:p>
      <w:r>
        <w:t>Quedan pendientes acciones concretas del Autorizador sobre límites no protegidos, rechazo y reenvío del trabajo, reasignación, gestión de usuarios reales y corrección material posterior a aprobación. La matriz se actualizará cuando exista acuerdo y evidencia de implementación.</w:t>
      </w:r>
    </w:p>
    <w:p>
      <w:pPr>
        <w:pStyle w:val="Heading1"/>
      </w:pPr>
      <w:r>
        <w:t>5 Fuentes y antecedentes</w:t>
      </w:r>
    </w:p>
    <w:p>
      <w:pPr>
        <w:keepNext/>
        <w:keepLines/>
      </w:pPr>
      <w:r>
        <w:t>Las citas numéricas del texto remiten a las referencias siguientes. Los antecedentes se conservan en ANEXOS/FUENTES con su estructura y autoría originales; los enlaces abren esas copias. Las fechas de los ensayos corresponden a las ejecuciones guardadas. La revisión documental no incorpora nuevas pruebas de la aplicación. Cuando la fuente no declara una fecha editorial se indica s. f.</w:t>
      </w:r>
    </w:p>
    <w:p>
      <w:pPr>
        <w:keepLines/>
        <w:spacing w:after="120"/>
      </w:pPr>
      <w:r>
        <w:t xml:space="preserve">[1] Moya, Dante y Larraguibel, Yarek. (s. f.). Matriz RACI del proyecto AFRISAN, versión corregida [Matriz de responsabilidades histórica]. </w:t>
      </w:r>
      <w:hyperlink r:id="rId9">
        <w:r>
          <w:rPr>
            <w:color w:val="24445F"/>
          </w:rPr>
          <w:t>EVIDENCIAS_​GRUPALES/​Documentación del Proyecto/​ACTUAL/​08_​RACI_​AFRISAN_​Corregido.pdf</w:t>
        </w:r>
      </w:hyperlink>
    </w:p>
    <w:p>
      <w:pPr>
        <w:keepLines/>
        <w:spacing w:after="120"/>
      </w:pPr>
      <w:r>
        <w:t xml:space="preserve">[2] Moya, Dante. (2026). Asignación de responsables: revisión con Dante [Definición de negocio registrada en el proyecto]. </w:t>
      </w:r>
      <w:hyperlink r:id="rId10">
        <w:r>
          <w:rPr>
            <w:color w:val="24445F"/>
          </w:rPr>
          <w:t>AFRISAN_​NUEVO/​01_​NEGOCIO/​08_​RESPONSABLES_​PROCESOS.md</w:t>
        </w:r>
      </w:hyperlink>
    </w:p>
    <w:p>
      <w:pPr>
        <w:keepLines/>
        <w:spacing w:after="120"/>
      </w:pPr>
      <w:r>
        <w:t xml:space="preserve">[3] Moya, Dante. (2026). Procesos del Autorizador [Definición de negocio registrada en el proyecto]. </w:t>
      </w:r>
      <w:hyperlink r:id="rId11">
        <w:r>
          <w:rPr>
            <w:color w:val="24445F"/>
          </w:rPr>
          <w:t>AFRISAN_​NUEVO/​01_​NEGOCIO/​10_​PROCESOS_​AUTORIZADOR.md</w:t>
        </w:r>
      </w:hyperlink>
    </w:p>
    <w:p>
      <w:pPr>
        <w:keepLines/>
        <w:spacing w:after="120"/>
      </w:pPr>
      <w:r>
        <w:t xml:space="preserve">[4] Moya, Dante. (2026). Contexto del negocio y acuerdos [Definición de negocio registrada en el proyecto]. </w:t>
      </w:r>
      <w:hyperlink r:id="rId12">
        <w:r>
          <w:rPr>
            <w:color w:val="24445F"/>
          </w:rPr>
          <w:t>AFRISAN_​NUEVO/​01_​NEGOCIO/​00_​CONTEXTO_​Y_​ACUERDOS.md</w:t>
        </w:r>
      </w:hyperlink>
    </w:p>
    <w:p>
      <w:pPr>
        <w:keepLines/>
        <w:spacing w:after="120"/>
      </w:pPr>
      <w:r>
        <w:t xml:space="preserve">[5] Moya, Dante. (2026). OT: definición del negocio proporcionada por Dante [Definición de negocio registrada en el proyecto]. </w:t>
      </w:r>
      <w:hyperlink r:id="rId13">
        <w:r>
          <w:rPr>
            <w:color w:val="24445F"/>
          </w:rPr>
          <w:t>AFRISAN_​NUEVO/​01_​NEGOCIO/​07_​OT_​DEFINICION_​DANTE.md</w:t>
        </w:r>
      </w:hyperlink>
    </w:p>
    <w:p>
      <w:pPr>
        <w:keepLines/>
        <w:spacing w:after="120"/>
      </w:pPr>
      <w:r>
        <w:t xml:space="preserve">[6] Moya, Dante. (2026). Retiro por el técnico, cambio y revisión posterior [Definición de negocio registrada en el proyecto]. </w:t>
      </w:r>
      <w:hyperlink r:id="rId14">
        <w:r>
          <w:rPr>
            <w:color w:val="24445F"/>
          </w:rPr>
          <w:t>AFRISAN_​NUEVO/​01_​NEGOCIO/​12_​FLUJO_​TERRENO_​DESPACHO_​Y_​REVISION.md</w:t>
        </w:r>
      </w:hyperlink>
    </w:p>
    <w:p>
      <w:pPr>
        <w:keepLines/>
        <w:spacing w:after="120"/>
      </w:pPr>
      <w:r>
        <w:t xml:space="preserve">[7] Proyecto AFRISAN. (2026). Flujo de terreno corregido según Dante [Registro de validación técnica]. </w:t>
      </w:r>
      <w:hyperlink r:id="rId15">
        <w:r>
          <w:rPr>
            <w:color w:val="24445F"/>
          </w:rPr>
          <w:t>AFRISAN_​NUEVO/​04_​SEGUIMIENTO/​FLUJO_​TERRENO_​2026_​10_​25/​README.md</w:t>
        </w:r>
      </w:hyperlink>
    </w:p>
    <w:p>
      <w:pPr>
        <w:keepLines/>
        <w:spacing w:after="120"/>
      </w:pPr>
      <w:r>
        <w:t xml:space="preserve">[8] Proyecto AFRISAN. (2026). Validación del SQL del contexto actual [Registro de validación técnica]. </w:t>
      </w:r>
      <w:hyperlink r:id="rId16">
        <w:r>
          <w:rPr>
            <w:color w:val="24445F"/>
          </w:rPr>
          <w:t>AFRISAN_​NUEVO/​04_​SEGUIMIENTO/​VALIDACION_​SQL_​CONTEXTO_​2026_​10_​25/​README.md</w:t>
        </w:r>
      </w:hyperlink>
    </w:p>
    <w:p>
      <w:pPr>
        <w:keepLines/>
        <w:spacing w:after="120"/>
      </w:pPr>
      <w:r>
        <w:t xml:space="preserve">[9] Proyecto AFRISAN. (s. f.). AFRISAN-APT: índice y orientación del repositorio [Índice documental del proyecto]. </w:t>
      </w:r>
      <w:hyperlink r:id="rId17">
        <w:r>
          <w:rPr>
            <w:color w:val="24445F"/>
          </w:rPr>
          <w:t>README.md</w:t>
        </w:r>
      </w:hyperlink>
    </w:p>
    <w:sectPr w:rsidR="00FC693F" w:rsidRPr="0006063C" w:rsidSect="00034616">
      <w:footerReference w:type="default" r:id="rId18"/>
      <w:pgSz w:w="16838" w:h="11906"/>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AFRISAN DM · 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NEXOS/FUENTES/EVIDENCIAS_GRUPALES/Documentaci%C3%B3n%20del%20Proyecto/ACTUAL/08_RACI_AFRISAN_Corregido.pdf" TargetMode="External"/><Relationship Id="rId10" Type="http://schemas.openxmlformats.org/officeDocument/2006/relationships/hyperlink" Target="../ANEXOS/FUENTES/AFRISAN_NUEVO/01_NEGOCIO/08_RESPONSABLES_PROCESOS.md" TargetMode="External"/><Relationship Id="rId11" Type="http://schemas.openxmlformats.org/officeDocument/2006/relationships/hyperlink" Target="../ANEXOS/FUENTES/AFRISAN_NUEVO/01_NEGOCIO/10_PROCESOS_AUTORIZADOR.md" TargetMode="External"/><Relationship Id="rId12" Type="http://schemas.openxmlformats.org/officeDocument/2006/relationships/hyperlink" Target="../ANEXOS/FUENTES/AFRISAN_NUEVO/01_NEGOCIO/00_CONTEXTO_Y_ACUERDOS.md" TargetMode="External"/><Relationship Id="rId13" Type="http://schemas.openxmlformats.org/officeDocument/2006/relationships/hyperlink" Target="../ANEXOS/FUENTES/AFRISAN_NUEVO/01_NEGOCIO/07_OT_DEFINICION_DANTE.md" TargetMode="External"/><Relationship Id="rId14" Type="http://schemas.openxmlformats.org/officeDocument/2006/relationships/hyperlink" Target="../ANEXOS/FUENTES/AFRISAN_NUEVO/01_NEGOCIO/12_FLUJO_TERRENO_DESPACHO_Y_REVISION.md" TargetMode="External"/><Relationship Id="rId15" Type="http://schemas.openxmlformats.org/officeDocument/2006/relationships/hyperlink" Target="../ANEXOS/FUENTES/AFRISAN_NUEVO/04_SEGUIMIENTO/FLUJO_TERRENO_2026_10_25/README.md" TargetMode="External"/><Relationship Id="rId16" Type="http://schemas.openxmlformats.org/officeDocument/2006/relationships/hyperlink" Target="../ANEXOS/FUENTES/AFRISAN_NUEVO/04_SEGUIMIENTO/VALIDACION_SQL_CONTEXTO_2026_10_25/README.md" TargetMode="External"/><Relationship Id="rId17" Type="http://schemas.openxmlformats.org/officeDocument/2006/relationships/hyperlink" Target="../ANEXOS/FUENTES/README.md"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Responsabilidades del nuevo AFRISAN</dc:title>
  <dc:subject>Nuevo AFRISAN · Documentación APT en español · Revisión 29/10/2026</dc:subject>
  <dc:creator>Dante Moya</dc:creator>
  <cp:keywords/>
  <dc:description>Actualización documental con conservación de antecedentes y autoría histórica.</dc:description>
  <cp:lastModifiedBy/>
  <cp:revision>1</cp:revision>
  <dcterms:created xsi:type="dcterms:W3CDTF">2013-12-23T23:15:00Z</dcterms:created>
  <dcterms:modified xsi:type="dcterms:W3CDTF">2013-12-23T23:15:00Z</dcterms:modified>
  <cp:category/>
  <dc:language>es-CL</dc:language>
</cp:coreProperties>
</file>