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 aprendizajes y retrospectivas de AFRISAN</w:t>
      </w:r>
    </w:p>
    <w:p>
      <w:pPr>
        <w:pStyle w:val="Subtitle"/>
      </w:pPr>
      <w:r>
        <w:t>Conservación del historial y mejora de la continuidad individual  29 de octubre de 2026</w:t>
      </w:r>
    </w:p>
    <w:p>
      <w:r>
        <w:t>Responsable actual Dante Moya · Versión documental en español del 29 de octubre de 2026</w:t>
      </w:r>
    </w:p>
    <w:p>
      <w:pPr>
        <w:pStyle w:val="Heading1"/>
      </w:pPr>
      <w:r>
        <w:t>1 Alcance del registro</w:t>
      </w:r>
    </w:p>
    <w:p>
      <w:r>
        <w:t>Se conservan las cuatro retrospectivas de Fase 1 con su autoría, asistentes, fechas y contenido originales. Este documento revisa sus aprendizajes frente al nuevo AFRISAN y define acciones de mejora para Dante Moya. No constituye el acta de una reunión nueva ni reasigna a Dante los aportes históricos de otros integrantes. [1] [2] [3] [4]</w:t>
      </w:r>
    </w:p>
    <w:p>
      <w:r>
        <w:t>Los documentos originales identifican a Dante Moya y Yarek Larraguibel como participantes. Los números de semana se conservan como rótulos de origen: las fechas registradas no siguen una secuencia cronológica completa. No se corrigen sin una fuente que acredite la fecha real.</w:t>
      </w:r>
    </w:p>
    <w:p>
      <w:pPr>
        <w:pStyle w:val="Heading1"/>
      </w:pPr>
      <w:r>
        <w:t>2 Resumen de antecedentes</w:t>
      </w:r>
    </w:p>
    <w:p>
      <w:r>
        <w:t>Los antecedentes y criterios de esta tabla se apoyan en las fuentes [1], [2], [3], [4].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Documento histórico</w:t>
            </w:r>
          </w:p>
        </w:tc>
        <w:tc>
          <w:tcPr>
            <w:tcW w:type="dxa" w:w="23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Fecha registrada</w:t>
            </w:r>
          </w:p>
        </w:tc>
        <w:tc>
          <w:tcPr>
            <w:tcW w:type="dxa" w:w="4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Aprendizaje conservado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Retrospectiva semana 1</w:t>
            </w:r>
          </w:p>
        </w:tc>
        <w:tc>
          <w:tcPr>
            <w:tcW w:type="dxa" w:w="23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14 de agosto de 2026</w:t>
            </w:r>
          </w:p>
        </w:tc>
        <w:tc>
          <w:tcPr>
            <w:tcW w:type="dxa" w:w="4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Contacto con contraparte como facilitador; dificultad inicial para planificar ciclos; propuesta de usar tablero y revisiones. [1]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Retrospectiva semana 2</w:t>
            </w:r>
          </w:p>
        </w:tc>
        <w:tc>
          <w:tcPr>
            <w:tcW w:type="dxa" w:w="23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27 de agosto de 2026</w:t>
            </w:r>
          </w:p>
        </w:tc>
        <w:tc>
          <w:tcPr>
            <w:tcW w:type="dxa" w:w="4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Delimitación del alcance y exclusión de modificación del ERP; coordinación difícil con técnicos; propuesta de revisar prototipos. [2]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Retrospectiva semana 3</w:t>
            </w:r>
          </w:p>
        </w:tc>
        <w:tc>
          <w:tcPr>
            <w:tcW w:type="dxa" w:w="23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20 de agosto de 2026</w:t>
            </w:r>
          </w:p>
        </w:tc>
        <w:tc>
          <w:tcPr>
            <w:tcW w:type="dxa" w:w="4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Definición inicial de fórmulas; tendencia a concentrarse en herramientas antes de comprender el negocio; necesidad de inducción práctica. [3]</w:t>
            </w:r>
          </w:p>
        </w:tc>
      </w:tr>
      <w:tr>
        <w:trPr>
          <w:cantSplit/>
        </w:trPr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Retrospectiva semana 4</w:t>
            </w:r>
          </w:p>
        </w:tc>
        <w:tc>
          <w:tcPr>
            <w:tcW w:type="dxa" w:w="23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31 de agosto de 2026</w:t>
            </w:r>
          </w:p>
        </w:tc>
        <w:tc>
          <w:tcPr>
            <w:tcW w:type="dxa" w:w="47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Vinculación con competencias; dificultad de estimación; propuesta de validar etiquetas en condiciones físicas. [4]</w:t>
            </w:r>
          </w:p>
        </w:tc>
      </w:tr>
    </w:tbl>
    <w:p>
      <w:pPr>
        <w:spacing w:after="0"/>
      </w:pPr>
    </w:p>
    <w:p>
      <w:pPr>
        <w:pStyle w:val="Heading1"/>
      </w:pPr>
      <w:r>
        <w:t>3 Qué se mantiene útil</w:t>
      </w:r>
    </w:p>
    <w:p>
      <w:r>
        <w:t>La necesidad de entender el negocio antes de diseñar tablas y pantallas conserva vigencia. El reemplazo físico aclarado en octubre mostró que una estructura aparentemente coherente podía representar otra operación. Las identidades de retirado e instalado y el orden de aprobación deben orientar el modelo y los criterios de prueba. [1] [4]</w:t>
      </w:r>
    </w:p>
    <w:p>
      <w:r>
        <w:t>También se mantiene la utilidad de limitar el alcance, registrar pendientes y revisar incrementos con evidencia. Para un único estudiante, el tablero y el registro de decisiones resultan aplicables sin simular la coordinación de un equipo que ya no está disponible.</w:t>
      </w:r>
    </w:p>
    <w:p>
      <w:pPr>
        <w:pStyle w:val="Heading1"/>
      </w:pPr>
      <w:r>
        <w:t>4 Qué requiere ajuste</w:t>
      </w:r>
    </w:p>
    <w:p>
      <w:r>
        <w:t>Las reglas históricas de semáforo por capacidad de equipo y conciliación de salida contra retorno no pueden trasladarse sin revisión al reemplazo de dos envases. Se conserva su origen, pero se separan de los límites semanales y mensuales por sucursal y de los cálculos ambientales pendientes. [7] [8]</w:t>
      </w:r>
    </w:p>
    <w:p>
      <w:r>
        <w:t>Las recomendaciones de ensayar lectura QR, etiquetas, cámara y dispositivos siguen siendo acciones pendientes; las capturas y fotos sintéticas no acreditan esas pruebas físicas. La evidencia en memoria y la validación SQL local tampoco sustituyen persistencia ni aceptación del cliente.</w:t>
      </w:r>
    </w:p>
    <w:p>
      <w:pPr>
        <w:pStyle w:val="Heading1"/>
      </w:pPr>
      <w:r>
        <w:t>5 Acciones de mejora para la continuidad</w:t>
      </w:r>
    </w:p>
    <w:p>
      <w:r>
        <w:t>Los antecedentes y criterios de esta tabla se apoyan en las fuentes [7], [8].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Acción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Resultado verificable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Responsable y prioridad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Mantener reglas y cambios en un registro único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Cada criterio identifica su fuente, fecha y requisito afectado.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Moya; inmediata.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Priorizar un recorrido completo antes de ampliar módulos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Retiro, cambio, recepción y dos revisiones coherentes en código, modelo e informe.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Moya; núcleo actual.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Integrar persistencia y fotos durables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Recorrido repetido con datos conservados tras reinicio.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Moya; siguiente incremento.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Planificar según capacidad individual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Bloques de trabajo y dependencias compatibles con tres horas diarias.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Moya; revisión continua.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Validar condiciones físicas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Casos de cámara, QR, etiquetas y red con dispositivo y resultado registrado.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con usuarios; por coordinar.</w:t>
            </w:r>
          </w:p>
        </w:tc>
      </w:tr>
      <w:tr>
        <w:trPr>
          <w:cantSplit/>
        </w:trPr>
        <w:tc>
          <w:tcPr>
            <w:tcW w:type="dxa" w:w="3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Distinguir evidencia, aceptación y evaluación</w:t>
            </w:r>
          </w:p>
        </w:tc>
        <w:tc>
          <w:tcPr>
            <w:tcW w:type="dxa" w:w="35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Resultados técnicos separados de pruebas de aceptación de usuarios, conformidad y nota docente.</w:t>
            </w:r>
          </w:p>
        </w:tc>
        <w:tc>
          <w:tcPr>
            <w:tcW w:type="dxa" w:w="24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Moya; todas las entregas.</w:t>
            </w:r>
          </w:p>
        </w:tc>
      </w:tr>
    </w:tbl>
    <w:p>
      <w:pPr>
        <w:spacing w:after="0"/>
      </w:pPr>
    </w:p>
    <w:p>
      <w:pPr>
        <w:pStyle w:val="Heading1"/>
      </w:pPr>
      <w:r>
        <w:t>6 Seguimiento propuesto</w:t>
      </w:r>
    </w:p>
    <w:p>
      <w:r>
        <w:t>Al cierre de cada incremento se registrará el resultado obtenido, el problema observado, la decisión tomada y el siguiente ajuste. La revisión individual no requiere inventar asistentes ni atribuir aprobación a personas ausentes. Una reunión futura tendrá su propia fecha, participantes y acta. [5]</w:t>
      </w:r>
    </w:p>
    <w:p>
      <w:r>
        <w:t>La fecha de revisión de estas acciones se coordinará con el plan de trabajo vigente y el calendario confirmado por el docente. No se declara completada una acción sin evidencia específica.</w:t>
      </w:r>
    </w:p>
    <w:p>
      <w:pPr>
        <w:pStyle w:val="Heading1"/>
      </w:pPr>
      <w:r>
        <w:t>7 Fuentes y antecedentes</w:t>
      </w:r>
    </w:p>
    <w:p>
      <w:pPr>
        <w:keepNext/>
        <w:keepLines/>
      </w:pPr>
      <w:r>
        <w:t>Las citas numéricas del texto remiten a las referencias siguientes. Los antecedentes se conservan en ANEXOS/FUENTES con su estructura y autoría originales; los enlaces abren esas copias. Las fechas de los ensayos corresponden a las ejecuciones guardadas. La revisión documental no incorpora nuevas pruebas de la aplicación. Cuando la fuente no declara una fecha editorial se indica s. f.</w:t>
      </w:r>
    </w:p>
    <w:p>
      <w:pPr>
        <w:keepLines/>
        <w:spacing w:after="120"/>
      </w:pPr>
      <w:r>
        <w:t xml:space="preserve">[1] Moya, Dante y Larraguibel, Yarek. (2026). Retrospectiva de AFRISAN: semana 1, versión corregida [Retrospectiva grupal histórica]. </w:t>
      </w:r>
      <w:hyperlink r:id="rId9">
        <w:r>
          <w:rPr>
            <w:color w:val="24445F"/>
          </w:rPr>
          <w:t>EVIDENCIAS_​GRUPALES/​Documentación del Proyecto/​ACTUAL/​09_​Retrospectiva_​Semana_​1_​AFRISAN_​Corregida.docx</w:t>
        </w:r>
      </w:hyperlink>
    </w:p>
    <w:p>
      <w:pPr>
        <w:keepLines/>
        <w:spacing w:after="120"/>
      </w:pPr>
      <w:r>
        <w:t xml:space="preserve">[2] Moya, Dante y Larraguibel, Yarek. (2026). Retrospectiva de AFRISAN: semana 2, versión corregida [Retrospectiva grupal histórica]. </w:t>
      </w:r>
      <w:hyperlink r:id="rId10">
        <w:r>
          <w:rPr>
            <w:color w:val="24445F"/>
          </w:rPr>
          <w:t>EVIDENCIAS_​GRUPALES/​Documentación del Proyecto/​ACTUAL/​10_​Retrospectiva_​Semana_​2_​AFRISAN_​Corregida.docx</w:t>
        </w:r>
      </w:hyperlink>
    </w:p>
    <w:p>
      <w:pPr>
        <w:keepLines/>
        <w:spacing w:after="120"/>
      </w:pPr>
      <w:r>
        <w:t xml:space="preserve">[3] Moya, Dante y Larraguibel, Yarek. (2026). Retrospectiva de AFRISAN: semana 3, versión corregida [Retrospectiva grupal histórica]. </w:t>
      </w:r>
      <w:hyperlink r:id="rId11">
        <w:r>
          <w:rPr>
            <w:color w:val="24445F"/>
          </w:rPr>
          <w:t>EVIDENCIAS_​GRUPALES/​Documentación del Proyecto/​ACTUAL/​11_​Retrospectiva_​Semana_​3_​AFRISAN_​Corregida.docx</w:t>
        </w:r>
      </w:hyperlink>
    </w:p>
    <w:p>
      <w:pPr>
        <w:keepLines/>
        <w:spacing w:after="120"/>
      </w:pPr>
      <w:r>
        <w:t xml:space="preserve">[4] Moya, Dante y Larraguibel, Yarek. (2026). Retrospectiva de AFRISAN: semana 4, versión corregida [Retrospectiva grupal histórica]. </w:t>
      </w:r>
      <w:hyperlink r:id="rId12">
        <w:r>
          <w:rPr>
            <w:color w:val="24445F"/>
          </w:rPr>
          <w:t>EVIDENCIAS_​GRUPALES/​Documentación del Proyecto/​ACTUAL/​12_​Retrospectiva_​Semana_​4_​AFRISAN_​Corregida.docx</w:t>
        </w:r>
      </w:hyperlink>
    </w:p>
    <w:p>
      <w:pPr>
        <w:keepLines/>
        <w:spacing w:after="120"/>
      </w:pPr>
      <w:r>
        <w:t xml:space="preserve">[5] Moya, Dante. (2026). Contexto del negocio y acuerdos [Definición de negocio registrada en el proyecto]. </w:t>
      </w:r>
      <w:hyperlink r:id="rId13">
        <w:r>
          <w:rPr>
            <w:color w:val="24445F"/>
          </w:rPr>
          <w:t>AFRISAN_​NUEVO/​01_​NEGOCIO/​00_​CONTEXTO_​Y_​ACUERDOS.md</w:t>
        </w:r>
      </w:hyperlink>
    </w:p>
    <w:p>
      <w:pPr>
        <w:keepLines/>
        <w:spacing w:after="120"/>
      </w:pPr>
      <w:r>
        <w:t xml:space="preserve">[6] Moya, Dante. (2026). OT: definición del negocio proporcionada por Dante [Definición de negocio registrada en el proyecto]. </w:t>
      </w:r>
      <w:hyperlink r:id="rId14">
        <w:r>
          <w:rPr>
            <w:color w:val="24445F"/>
          </w:rPr>
          <w:t>AFRISAN_​NUEVO/​01_​NEGOCIO/​07_​OT_​DEFINICION_​DANTE.md</w:t>
        </w:r>
      </w:hyperlink>
    </w:p>
    <w:p>
      <w:pPr>
        <w:keepLines/>
        <w:spacing w:after="120"/>
      </w:pPr>
      <w:r>
        <w:t xml:space="preserve">[7] Moya, Dante. (2026). Retiro por el técnico, cambio y revisión posterior [Definición de negocio registrada en el proyecto]. </w:t>
      </w:r>
      <w:hyperlink r:id="rId15">
        <w:r>
          <w:rPr>
            <w:color w:val="24445F"/>
          </w:rPr>
          <w:t>AFRISAN_​NUEVO/​01_​NEGOCIO/​12_​FLUJO_​TERRENO_​DESPACHO_​Y_​REVISION.md</w:t>
        </w:r>
      </w:hyperlink>
    </w:p>
    <w:p>
      <w:pPr>
        <w:keepLines/>
        <w:spacing w:after="120"/>
      </w:pPr>
      <w:r>
        <w:t xml:space="preserve">[8] Proyecto AFRISAN. (2026). Flujo de terreno corregido según Dante [Registro de validación técnica]. </w:t>
      </w:r>
      <w:hyperlink r:id="rId16">
        <w:r>
          <w:rPr>
            <w:color w:val="24445F"/>
          </w:rPr>
          <w:t>AFRISAN_​NUEVO/​04_​SEGUIMIENTO/​FLUJO_​TERRENO_​2026_​10_​25/​README.md</w:t>
        </w:r>
      </w:hyperlink>
    </w:p>
    <w:p>
      <w:pPr>
        <w:keepLines/>
        <w:spacing w:after="120"/>
      </w:pPr>
      <w:r>
        <w:t xml:space="preserve">[9] Proyecto AFRISAN. (2026). Validación del SQL del contexto actual [Registro de validación técnica]. </w:t>
      </w:r>
      <w:hyperlink r:id="rId17">
        <w:r>
          <w:rPr>
            <w:color w:val="24445F"/>
          </w:rPr>
          <w:t>AFRISAN_​NUEVO/​04_​SEGUIMIENTO/​VALIDACION_​SQL_​CONTEXTO_​2026_​10_​25/​README.md</w:t>
        </w:r>
      </w:hyperlink>
    </w:p>
    <w:p>
      <w:pPr>
        <w:keepLines/>
        <w:spacing w:after="120"/>
      </w:pPr>
      <w:r>
        <w:t xml:space="preserve">[10] Proyecto AFRISAN. (s. f.). AFRISAN-APT: índice y orientación del repositorio [Índice documental del proyecto]. </w:t>
      </w:r>
      <w:hyperlink r:id="rId18">
        <w:r>
          <w:rPr>
            <w:color w:val="24445F"/>
          </w:rPr>
          <w:t>README.md</w:t>
        </w:r>
      </w:hyperlink>
    </w:p>
    <w:sectPr w:rsidR="00FC693F" w:rsidRPr="0006063C" w:rsidSect="00034616">
      <w:footerReference w:type="default" r:id="rId1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AFRISAN DM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NEXOS/FUENTES/EVIDENCIAS_GRUPALES/Documentaci%C3%B3n%20del%20Proyecto/ACTUAL/09_Retrospectiva_Semana_1_AFRISAN_Corregida.docx" TargetMode="External"/><Relationship Id="rId10" Type="http://schemas.openxmlformats.org/officeDocument/2006/relationships/hyperlink" Target="../ANEXOS/FUENTES/EVIDENCIAS_GRUPALES/Documentaci%C3%B3n%20del%20Proyecto/ACTUAL/10_Retrospectiva_Semana_2_AFRISAN_Corregida.docx" TargetMode="External"/><Relationship Id="rId11" Type="http://schemas.openxmlformats.org/officeDocument/2006/relationships/hyperlink" Target="../ANEXOS/FUENTES/EVIDENCIAS_GRUPALES/Documentaci%C3%B3n%20del%20Proyecto/ACTUAL/11_Retrospectiva_Semana_3_AFRISAN_Corregida.docx" TargetMode="External"/><Relationship Id="rId12" Type="http://schemas.openxmlformats.org/officeDocument/2006/relationships/hyperlink" Target="../ANEXOS/FUENTES/EVIDENCIAS_GRUPALES/Documentaci%C3%B3n%20del%20Proyecto/ACTUAL/12_Retrospectiva_Semana_4_AFRISAN_Corregida.docx" TargetMode="External"/><Relationship Id="rId13" Type="http://schemas.openxmlformats.org/officeDocument/2006/relationships/hyperlink" Target="../ANEXOS/FUENTES/AFRISAN_NUEVO/01_NEGOCIO/00_CONTEXTO_Y_ACUERDOS.md" TargetMode="External"/><Relationship Id="rId14" Type="http://schemas.openxmlformats.org/officeDocument/2006/relationships/hyperlink" Target="../ANEXOS/FUENTES/AFRISAN_NUEVO/01_NEGOCIO/07_OT_DEFINICION_DANTE.md" TargetMode="External"/><Relationship Id="rId15" Type="http://schemas.openxmlformats.org/officeDocument/2006/relationships/hyperlink" Target="../ANEXOS/FUENTES/AFRISAN_NUEVO/01_NEGOCIO/12_FLUJO_TERRENO_DESPACHO_Y_REVISION.md" TargetMode="External"/><Relationship Id="rId16" Type="http://schemas.openxmlformats.org/officeDocument/2006/relationships/hyperlink" Target="../ANEXOS/FUENTES/AFRISAN_NUEVO/04_SEGUIMIENTO/FLUJO_TERRENO_2026_10_25/README.md" TargetMode="External"/><Relationship Id="rId17" Type="http://schemas.openxmlformats.org/officeDocument/2006/relationships/hyperlink" Target="../ANEXOS/FUENTES/AFRISAN_NUEVO/04_SEGUIMIENTO/VALIDACION_SQL_CONTEXTO_2026_10_25/README.md" TargetMode="External"/><Relationship Id="rId18" Type="http://schemas.openxmlformats.org/officeDocument/2006/relationships/hyperlink" Target="../ANEXOS/FUENTES/README.md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 aprendizajes y retrospectivas de AFRISAN</dc:title>
  <dc:subject>Nuevo AFRISAN · Documentación APT en español · Revisión 29/10/2026</dc:subject>
  <dc:creator>Dante Moya</dc:creator>
  <cp:keywords/>
  <dc:description>Actualización documental con conservación de antecedentes y autoría histórica.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