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Duoc UC</w:t>
      </w:r>
    </w:p>
    <w:p>
      <w:pPr>
        <w:pStyle w:val="Subtitle"/>
      </w:pPr>
      <w:r>
        <w:t>Escuela de Informática y Telecomunicaciones</w:t>
      </w:r>
    </w:p>
    <w:p>
      <w:pPr>
        <w:pStyle w:val="Subtitle"/>
      </w:pPr>
      <w:r>
        <w:t>Ingeniería en Informática · Proyecto APT</w:t>
      </w:r>
    </w:p>
    <w:p/>
    <w:p>
      <w:pPr>
        <w:pStyle w:val="Title"/>
      </w:pPr>
      <w:r>
        <w:t>Informe de avance del nuevo AFRISAN</w:t>
      </w:r>
    </w:p>
    <w:p>
      <w:pPr>
        <w:pStyle w:val="Subtitle"/>
      </w:pPr>
      <w:r>
        <w:t>Fase 2 del Proyecto APT · Dante Moya · Corte del 29 de octubre de 2026</w:t>
      </w:r>
    </w:p>
    <w:p>
      <w:r>
        <w:t>AFRISAN · Sistema Integral de Gestión y Trazabilidad de Refrigerantes</w:t>
      </w:r>
    </w:p>
    <w:p>
      <w:r>
        <w:t>Responsable actual Dante Moya</w:t>
      </w:r>
    </w:p>
    <w:p>
      <w:r>
        <w:t>29 de octubre de 2026</w:t>
      </w:r>
    </w:p>
    <w:p>
      <w:r>
        <w:br w:type="page"/>
      </w:r>
    </w:p>
    <w:p>
      <w:pPr>
        <w:pStyle w:val="Heading1"/>
      </w:pPr>
      <w:r>
        <w:t>Índice</w:t>
      </w:r>
    </w:p>
    <w:p>
      <w:r>
        <w:t>1  Resumen</w:t>
      </w:r>
    </w:p>
    <w:p>
      <w:r>
        <w:t>2  Contexto y alcance del avance</w:t>
      </w:r>
    </w:p>
    <w:p>
      <w:r>
        <w:t>3  Objetivos y estado de cumplimiento</w:t>
      </w:r>
    </w:p>
    <w:p>
      <w:r>
        <w:t>4  Metodología de trabajo</w:t>
      </w:r>
    </w:p>
    <w:p>
      <w:r>
        <w:t>5  Desarrollo de ingeniería y flujo vigente</w:t>
      </w:r>
    </w:p>
    <w:p>
      <w:r>
        <w:t>6  Calidad y evidencias seleccionadas</w:t>
      </w:r>
    </w:p>
    <w:p>
      <w:r>
        <w:t>7  Dificultades facilitadores y ajustes</w:t>
      </w:r>
    </w:p>
    <w:p>
      <w:r>
        <w:t>8  Monitoreo y siguientes incrementos</w:t>
      </w:r>
    </w:p>
    <w:p>
      <w:r>
        <w:t>9  Conclusiones y reflexión individual</w:t>
      </w:r>
    </w:p>
    <w:p>
      <w:r>
        <w:t>10  Referencias y anexos de evidencia</w:t>
      </w:r>
    </w:p>
    <w:p>
      <w:r>
        <w:t>11  Fuentes y antecedentes</w:t>
      </w:r>
    </w:p>
    <w:p>
      <w:r>
        <w:br w:type="page"/>
      </w:r>
    </w:p>
    <w:p>
      <w:pPr>
        <w:pStyle w:val="Heading1"/>
      </w:pPr>
      <w:r>
        <w:t>1 Resumen</w:t>
      </w:r>
    </w:p>
    <w:p>
      <w:r>
        <w:t>AFRISAN necesita identificar cada cilindro, conocer su refrigerante, ubicación y custodio, y respaldar sus movimientos con pesajes, fotografías y revisiones. La solución nueva dispone de una aplicación Blazor WebAssembly y una API ASP.NET Core en .NET 8 para inventario y órdenes de trabajo. El proceso vigente considera reemplazo físico o agregado de cilindros: el Técnico registra el retiro desde Bodega con peso y fotografía, ejecuta el trabajo en sucursal, informa la devolución y el término, Bodega recibe y aprueba, y el Autorizador revisa antes de cerrar. [5] [7] [10]</w:t>
      </w:r>
    </w:p>
    <w:p>
      <w:r>
        <w:t>El avance verificable incluye tres recorridos automáticos con datos sintéticos y 274 comprobaciones HTTP y de estado satisfactorias del flujo corregido, además de un recorrido completo desde los formularios del navegador, registrados el 25 de octubre. También existe un esquema SQL del contexto actual con 31 tablas, validado mediante 144 comprobaciones en PostgreSQL embebido en PGlite. La aplicación continúa almacenando sus datos centrales en memoria; esta validación SQL no acredita integración con la API ni instalación en Supabase.</w:t>
      </w:r>
    </w:p>
    <w:p>
      <w:r>
        <w:t>Dante Moya es el único integrante actual y responsable de continuidad. Esta actualización sustituye las descripciones del prototipo anterior y conserva las contribuciones históricas. Persistencia, usuarios reales, almacenamiento durable de fotos, validación sin red y cámara, Power BI e integración con Defontana siguen pendientes. El informe acredita avance técnico y documental, sin declarar aceptación del cliente ni cierre operativo.</w:t>
      </w:r>
    </w:p>
    <w:p>
      <w:pPr>
        <w:pStyle w:val="Heading1"/>
      </w:pPr>
      <w:r>
        <w:t>2 Contexto y alcance del avance</w:t>
      </w:r>
    </w:p>
    <w:p>
      <w:r>
        <w:t>El proyecto se desarrolla para Accesorios Frigoríficos Santiago Limitada, AFRISAN, en el contexto académico de Ingeniería en Informática. El objeto de control es el cilindro físico y su cadena de custodia. El cilindro instalado permanece en la sucursal y el retirado vuelve a Bodega; un agregado puede instalar un cilindro sin exigir otro retirado. La masa transportada, el contenido de un cilindro y una emisión ambiental son magnitudes distintas. [4] [5]</w:t>
      </w:r>
    </w:p>
    <w:p>
      <w:r>
        <w:t>La aclaración del 25 de octubre prevalece sobre las propuestas donde Bodega registraba el despacho o el Técnico enviaba directamente el término al Autorizador. La autorización inicial de la OT y la revisión final son actuaciones diferentes. La OT continúa siendo creada y asignada manualmente por el Autorizador en el prototipo.</w:t>
      </w:r>
    </w:p>
    <w:p>
      <w:r>
        <w:t>El corte incorpora los resultados conservados hasta el 25 de octubre y su actualización documental al 28 de octubre. No se afirma que las pruebas se hayan repetido durante esta edición. La continuidad individual está registrada desde el 16 de octubre; falta conservar el acuerdo docente sobre cómo aplicar los criterios grupales de la pauta.</w:t>
      </w:r>
    </w:p>
    <w:p>
      <w:pPr>
        <w:pStyle w:val="Heading1"/>
      </w:pPr>
      <w:r>
        <w:t>3 Objetivos y estado de cumplimiento</w:t>
      </w:r>
    </w:p>
    <w:p>
      <w:r>
        <w:t>El objetivo general actualizado es desarrollar una solución que permita a AFRISAN gestionar el inventario y la trazabilidad de refrigerantes y cilindros mediante identificación unitaria, custodia, pesajes, evidencias y revisiones por rol, y preparar información confiable para control de costos e indicadores. Este ajuste conserva la finalidad de control del proyecto original y adapta el proceso a reemplazos físicos. [4] [7]</w:t>
      </w:r>
    </w:p>
    <w:p>
      <w:r>
        <w:t>Los compromisos cuantitativos del acta original se conservan como metas de proyecto: 50 despachos simulados con lectura QR en menos de dos segundos por cilindro, 20 registros sin red, satisfacción de tres técnicos de al menos 4 sobre 5, cinco indicadores clave de desempeño y conversión para cuatro refrigerantes, cobertura unitaria de al menos 80 % y 15 casos de pruebas de aceptación de usuarios, entre otros. Las pruebas disponibles no acreditan que esas metas estén cumplidas. Su calendario y adecuación al nuevo proceso requieren revisión expresa con la contraparte y el docente.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75"/>
        <w:gridCol w:w="3175"/>
        <w:gridCol w:w="3175"/>
      </w:tblGrid>
      <w:tr>
        <w:trPr>
          <w:tblHeader/>
        </w:trPr>
        <w:tc>
          <w:tcPr>
            <w:tcW w:type="dxa" w:w="2548"/>
            <w:vAlign w:val="center"/>
            <w:tcMar>
              <w:top w:w="85" w:type="dxa"/>
              <w:left w:w="85" w:type="dxa"/>
              <w:bottom w:w="85" w:type="dxa"/>
              <w:right w:w="85" w:type="dxa"/>
            </w:tcMar>
            <w:shd w:fill="24445F"/>
          </w:tcPr>
          <w:p>
            <w:pPr>
              <w:keepNext/>
              <w:spacing w:before="40" w:after="60" w:line="240" w:lineRule="auto"/>
            </w:pPr>
            <w:r>
              <w:rPr>
                <w:b/>
                <w:color w:val="FFFFFF"/>
                <w:sz w:val="22"/>
              </w:rPr>
              <w:t>Objetivo específico</w:t>
            </w:r>
          </w:p>
        </w:tc>
        <w:tc>
          <w:tcPr>
            <w:tcW w:type="dxa" w:w="3488"/>
            <w:vAlign w:val="center"/>
            <w:tcMar>
              <w:top w:w="85" w:type="dxa"/>
              <w:left w:w="85" w:type="dxa"/>
              <w:bottom w:w="85" w:type="dxa"/>
              <w:right w:w="85" w:type="dxa"/>
            </w:tcMar>
            <w:shd w:fill="24445F"/>
          </w:tcPr>
          <w:p>
            <w:pPr>
              <w:keepNext/>
              <w:spacing w:before="40" w:after="60" w:line="240" w:lineRule="auto"/>
            </w:pPr>
            <w:r>
              <w:rPr>
                <w:b/>
                <w:color w:val="FFFFFF"/>
                <w:sz w:val="22"/>
              </w:rPr>
              <w:t>Avance respaldado</w:t>
            </w:r>
          </w:p>
        </w:tc>
        <w:tc>
          <w:tcPr>
            <w:tcW w:type="dxa" w:w="3488"/>
            <w:vAlign w:val="center"/>
            <w:tcMar>
              <w:top w:w="85" w:type="dxa"/>
              <w:left w:w="85" w:type="dxa"/>
              <w:bottom w:w="85" w:type="dxa"/>
              <w:right w:w="85" w:type="dxa"/>
            </w:tcMar>
            <w:shd w:fill="24445F"/>
          </w:tcPr>
          <w:p>
            <w:pPr>
              <w:keepNext/>
              <w:spacing w:before="40" w:after="60" w:line="240" w:lineRule="auto"/>
            </w:pPr>
            <w:r>
              <w:rPr>
                <w:b/>
                <w:color w:val="FFFFFF"/>
                <w:sz w:val="22"/>
              </w:rPr>
              <w:t>Resultado pendiente</w:t>
            </w:r>
          </w:p>
        </w:tc>
      </w:tr>
      <w:tr>
        <w:trPr>
          <w:cantSplit/>
        </w:trPr>
        <w:tc>
          <w:tcPr>
            <w:tcW w:type="dxa" w:w="2548"/>
            <w:vAlign w:val="center"/>
            <w:tcMar>
              <w:top w:w="85" w:type="dxa"/>
              <w:left w:w="85" w:type="dxa"/>
              <w:bottom w:w="85" w:type="dxa"/>
              <w:right w:w="85" w:type="dxa"/>
            </w:tcMar>
          </w:tcPr>
          <w:p>
            <w:pPr>
              <w:spacing w:before="40" w:after="60" w:line="240" w:lineRule="auto"/>
            </w:pPr>
            <w:r>
              <w:rPr>
                <w:b w:val="0"/>
                <w:color w:val="000000"/>
                <w:sz w:val="22"/>
              </w:rPr>
              <w:t>Levantar y ajustar reglas de negocio</w:t>
            </w:r>
          </w:p>
        </w:tc>
        <w:tc>
          <w:tcPr>
            <w:tcW w:type="dxa" w:w="3488"/>
            <w:vAlign w:val="center"/>
            <w:tcMar>
              <w:top w:w="85" w:type="dxa"/>
              <w:left w:w="85" w:type="dxa"/>
              <w:bottom w:w="85" w:type="dxa"/>
              <w:right w:w="85" w:type="dxa"/>
            </w:tcMar>
          </w:tcPr>
          <w:p>
            <w:pPr>
              <w:spacing w:before="40" w:after="60" w:line="240" w:lineRule="auto"/>
            </w:pPr>
            <w:r>
              <w:rPr>
                <w:b w:val="0"/>
                <w:color w:val="000000"/>
                <w:sz w:val="22"/>
              </w:rPr>
              <w:t>Procesos y roles registrados; retiro del Técnico y doble revisión aclarados el 25 de octubre</w:t>
            </w:r>
          </w:p>
        </w:tc>
        <w:tc>
          <w:tcPr>
            <w:tcW w:type="dxa" w:w="3488"/>
            <w:vAlign w:val="center"/>
            <w:tcMar>
              <w:top w:w="85" w:type="dxa"/>
              <w:left w:w="85" w:type="dxa"/>
              <w:bottom w:w="85" w:type="dxa"/>
              <w:right w:w="85" w:type="dxa"/>
            </w:tcMar>
          </w:tcPr>
          <w:p>
            <w:pPr>
              <w:spacing w:before="40" w:after="60" w:line="240" w:lineRule="auto"/>
            </w:pPr>
            <w:r>
              <w:rPr>
                <w:b w:val="0"/>
                <w:color w:val="000000"/>
                <w:sz w:val="22"/>
              </w:rPr>
              <w:t>Acordar tolerancias, cómputo de límites y rectificaciones</w:t>
            </w:r>
          </w:p>
        </w:tc>
      </w:tr>
      <w:tr>
        <w:trPr>
          <w:cantSplit/>
        </w:trPr>
        <w:tc>
          <w:tcPr>
            <w:tcW w:type="dxa" w:w="2548"/>
            <w:vAlign w:val="center"/>
            <w:tcMar>
              <w:top w:w="85" w:type="dxa"/>
              <w:left w:w="85" w:type="dxa"/>
              <w:bottom w:w="85" w:type="dxa"/>
              <w:right w:w="85" w:type="dxa"/>
            </w:tcMar>
            <w:shd w:fill="F1F5F8"/>
          </w:tcPr>
          <w:p>
            <w:pPr>
              <w:spacing w:before="40" w:after="60" w:line="240" w:lineRule="auto"/>
            </w:pPr>
            <w:r>
              <w:rPr>
                <w:b w:val="0"/>
                <w:color w:val="000000"/>
                <w:sz w:val="22"/>
              </w:rPr>
              <w:t>Diseñar datos y arquitectura</w:t>
            </w:r>
          </w:p>
        </w:tc>
        <w:tc>
          <w:tcPr>
            <w:tcW w:type="dxa" w:w="3488"/>
            <w:vAlign w:val="center"/>
            <w:tcMar>
              <w:top w:w="85" w:type="dxa"/>
              <w:left w:w="85" w:type="dxa"/>
              <w:bottom w:w="85" w:type="dxa"/>
              <w:right w:w="85" w:type="dxa"/>
            </w:tcMar>
            <w:shd w:fill="F1F5F8"/>
          </w:tcPr>
          <w:p>
            <w:pPr>
              <w:spacing w:before="40" w:after="60" w:line="240" w:lineRule="auto"/>
            </w:pPr>
            <w:r>
              <w:rPr>
                <w:b w:val="0"/>
                <w:color w:val="000000"/>
                <w:sz w:val="22"/>
              </w:rPr>
              <w:t>Contratos, API y Web .NET 8; esquema SQL actual con validación local</w:t>
            </w:r>
          </w:p>
        </w:tc>
        <w:tc>
          <w:tcPr>
            <w:tcW w:type="dxa" w:w="3488"/>
            <w:vAlign w:val="center"/>
            <w:tcMar>
              <w:top w:w="85" w:type="dxa"/>
              <w:left w:w="85" w:type="dxa"/>
              <w:bottom w:w="85" w:type="dxa"/>
              <w:right w:w="85" w:type="dxa"/>
            </w:tcMar>
            <w:shd w:fill="F1F5F8"/>
          </w:tcPr>
          <w:p>
            <w:pPr>
              <w:spacing w:before="40" w:after="60" w:line="240" w:lineRule="auto"/>
            </w:pPr>
            <w:r>
              <w:rPr>
                <w:b w:val="0"/>
                <w:color w:val="000000"/>
                <w:sz w:val="22"/>
              </w:rPr>
              <w:t>Integrar persistencia y verificar permisos del servidor en el destino</w:t>
            </w:r>
          </w:p>
        </w:tc>
      </w:tr>
      <w:tr>
        <w:trPr>
          <w:cantSplit/>
        </w:trPr>
        <w:tc>
          <w:tcPr>
            <w:tcW w:type="dxa" w:w="2548"/>
            <w:vAlign w:val="center"/>
            <w:tcMar>
              <w:top w:w="85" w:type="dxa"/>
              <w:left w:w="85" w:type="dxa"/>
              <w:bottom w:w="85" w:type="dxa"/>
              <w:right w:w="85" w:type="dxa"/>
            </w:tcMar>
          </w:tcPr>
          <w:p>
            <w:pPr>
              <w:spacing w:before="40" w:after="60" w:line="240" w:lineRule="auto"/>
            </w:pPr>
            <w:r>
              <w:rPr>
                <w:b w:val="0"/>
                <w:color w:val="000000"/>
                <w:sz w:val="22"/>
              </w:rPr>
              <w:t>Implementar inventario y trazabilidad</w:t>
            </w:r>
          </w:p>
        </w:tc>
        <w:tc>
          <w:tcPr>
            <w:tcW w:type="dxa" w:w="3488"/>
            <w:vAlign w:val="center"/>
            <w:tcMar>
              <w:top w:w="85" w:type="dxa"/>
              <w:left w:w="85" w:type="dxa"/>
              <w:bottom w:w="85" w:type="dxa"/>
              <w:right w:w="85" w:type="dxa"/>
            </w:tcMar>
          </w:tcPr>
          <w:p>
            <w:pPr>
              <w:spacing w:before="40" w:after="60" w:line="240" w:lineRule="auto"/>
            </w:pPr>
            <w:r>
              <w:rPr>
                <w:b w:val="0"/>
                <w:color w:val="000000"/>
                <w:sz w:val="22"/>
              </w:rPr>
              <w:t>Catálogo, cilindros, QR, custodia y flujo de OT probados en memoria</w:t>
            </w:r>
          </w:p>
        </w:tc>
        <w:tc>
          <w:tcPr>
            <w:tcW w:type="dxa" w:w="3488"/>
            <w:vAlign w:val="center"/>
            <w:tcMar>
              <w:top w:w="85" w:type="dxa"/>
              <w:left w:w="85" w:type="dxa"/>
              <w:bottom w:w="85" w:type="dxa"/>
              <w:right w:w="85" w:type="dxa"/>
            </w:tcMar>
          </w:tcPr>
          <w:p>
            <w:pPr>
              <w:spacing w:before="40" w:after="60" w:line="240" w:lineRule="auto"/>
            </w:pPr>
            <w:r>
              <w:rPr>
                <w:b w:val="0"/>
                <w:color w:val="000000"/>
                <w:sz w:val="22"/>
              </w:rPr>
              <w:t>Conservación después de reinicio, concurrencia y varios técnicos</w:t>
            </w:r>
          </w:p>
        </w:tc>
      </w:tr>
      <w:tr>
        <w:trPr>
          <w:cantSplit/>
        </w:trPr>
        <w:tc>
          <w:tcPr>
            <w:tcW w:type="dxa" w:w="2548"/>
            <w:vAlign w:val="center"/>
            <w:tcMar>
              <w:top w:w="85" w:type="dxa"/>
              <w:left w:w="85" w:type="dxa"/>
              <w:bottom w:w="85" w:type="dxa"/>
              <w:right w:w="85" w:type="dxa"/>
            </w:tcMar>
            <w:shd w:fill="F1F5F8"/>
          </w:tcPr>
          <w:p>
            <w:pPr>
              <w:spacing w:before="40" w:after="60" w:line="240" w:lineRule="auto"/>
            </w:pPr>
            <w:r>
              <w:rPr>
                <w:b w:val="0"/>
                <w:color w:val="000000"/>
                <w:sz w:val="22"/>
              </w:rPr>
              <w:t>Proteger registros y evidencias</w:t>
            </w:r>
          </w:p>
        </w:tc>
        <w:tc>
          <w:tcPr>
            <w:tcW w:type="dxa" w:w="3488"/>
            <w:vAlign w:val="center"/>
            <w:tcMar>
              <w:top w:w="85" w:type="dxa"/>
              <w:left w:w="85" w:type="dxa"/>
              <w:bottom w:w="85" w:type="dxa"/>
              <w:right w:w="85" w:type="dxa"/>
            </w:tcMar>
            <w:shd w:fill="F1F5F8"/>
          </w:tcPr>
          <w:p>
            <w:pPr>
              <w:spacing w:before="40" w:after="60" w:line="240" w:lineRule="auto"/>
            </w:pPr>
            <w:r>
              <w:rPr>
                <w:b w:val="0"/>
                <w:color w:val="000000"/>
                <w:sz w:val="22"/>
              </w:rPr>
              <w:t>Sesiones de demostración, restricciones por rol y fotos autenticadas</w:t>
            </w:r>
          </w:p>
        </w:tc>
        <w:tc>
          <w:tcPr>
            <w:tcW w:type="dxa" w:w="3488"/>
            <w:vAlign w:val="center"/>
            <w:tcMar>
              <w:top w:w="85" w:type="dxa"/>
              <w:left w:w="85" w:type="dxa"/>
              <w:bottom w:w="85" w:type="dxa"/>
              <w:right w:w="85" w:type="dxa"/>
            </w:tcMar>
            <w:shd w:fill="F1F5F8"/>
          </w:tcPr>
          <w:p>
            <w:pPr>
              <w:spacing w:before="40" w:after="60" w:line="240" w:lineRule="auto"/>
            </w:pPr>
            <w:r>
              <w:rPr>
                <w:b w:val="0"/>
                <w:color w:val="000000"/>
                <w:sz w:val="22"/>
              </w:rPr>
              <w:t>Usuarios reales, almacenamiento privado de archivos, respaldo y recuperación</w:t>
            </w:r>
          </w:p>
        </w:tc>
      </w:tr>
      <w:tr>
        <w:trPr>
          <w:cantSplit/>
        </w:trPr>
        <w:tc>
          <w:tcPr>
            <w:tcW w:type="dxa" w:w="2548"/>
            <w:vAlign w:val="center"/>
            <w:tcMar>
              <w:top w:w="85" w:type="dxa"/>
              <w:left w:w="85" w:type="dxa"/>
              <w:bottom w:w="85" w:type="dxa"/>
              <w:right w:w="85" w:type="dxa"/>
            </w:tcMar>
          </w:tcPr>
          <w:p>
            <w:pPr>
              <w:keepNext/>
              <w:spacing w:before="40" w:after="60" w:line="240" w:lineRule="auto"/>
            </w:pPr>
            <w:r>
              <w:rPr>
                <w:b w:val="0"/>
                <w:color w:val="000000"/>
                <w:sz w:val="22"/>
              </w:rPr>
              <w:t>Generar información de gestión</w:t>
            </w:r>
          </w:p>
        </w:tc>
        <w:tc>
          <w:tcPr>
            <w:tcW w:type="dxa" w:w="3488"/>
            <w:vAlign w:val="center"/>
            <w:tcMar>
              <w:top w:w="85" w:type="dxa"/>
              <w:left w:w="85" w:type="dxa"/>
              <w:bottom w:w="85" w:type="dxa"/>
              <w:right w:w="85" w:type="dxa"/>
            </w:tcMar>
          </w:tcPr>
          <w:p>
            <w:pPr>
              <w:keepNext/>
              <w:spacing w:before="40" w:after="60" w:line="240" w:lineRule="auto"/>
            </w:pPr>
            <w:r>
              <w:rPr>
                <w:b w:val="0"/>
                <w:color w:val="000000"/>
                <w:sz w:val="22"/>
              </w:rPr>
              <w:t>Indicadores y necesidades documentados</w:t>
            </w:r>
          </w:p>
        </w:tc>
        <w:tc>
          <w:tcPr>
            <w:tcW w:type="dxa" w:w="3488"/>
            <w:vAlign w:val="center"/>
            <w:tcMar>
              <w:top w:w="85" w:type="dxa"/>
              <w:left w:w="85" w:type="dxa"/>
              <w:bottom w:w="85" w:type="dxa"/>
              <w:right w:w="85" w:type="dxa"/>
            </w:tcMar>
          </w:tcPr>
          <w:p>
            <w:pPr>
              <w:keepNext/>
              <w:spacing w:before="40" w:after="60" w:line="240" w:lineRule="auto"/>
            </w:pPr>
            <w:r>
              <w:rPr>
                <w:b w:val="0"/>
                <w:color w:val="000000"/>
                <w:sz w:val="22"/>
              </w:rPr>
              <w:t>Power BI, datos históricos, costos y semántica ambiental acordada</w:t>
            </w:r>
          </w:p>
        </w:tc>
      </w:tr>
      <w:tr>
        <w:trPr>
          <w:cantSplit/>
        </w:trPr>
        <w:tc>
          <w:tcPr>
            <w:tcW w:type="dxa" w:w="2548"/>
            <w:vAlign w:val="center"/>
            <w:tcMar>
              <w:top w:w="85" w:type="dxa"/>
              <w:left w:w="85" w:type="dxa"/>
              <w:bottom w:w="85" w:type="dxa"/>
              <w:right w:w="85" w:type="dxa"/>
            </w:tcMar>
            <w:shd w:fill="F1F5F8"/>
          </w:tcPr>
          <w:p>
            <w:pPr>
              <w:spacing w:before="40" w:after="60" w:line="240" w:lineRule="auto"/>
            </w:pPr>
            <w:r>
              <w:rPr>
                <w:b w:val="0"/>
                <w:color w:val="000000"/>
                <w:sz w:val="22"/>
              </w:rPr>
              <w:t>Validar con usuarios de AFRISAN</w:t>
            </w:r>
          </w:p>
        </w:tc>
        <w:tc>
          <w:tcPr>
            <w:tcW w:type="dxa" w:w="3488"/>
            <w:vAlign w:val="center"/>
            <w:tcMar>
              <w:top w:w="85" w:type="dxa"/>
              <w:left w:w="85" w:type="dxa"/>
              <w:bottom w:w="85" w:type="dxa"/>
              <w:right w:w="85" w:type="dxa"/>
            </w:tcMar>
            <w:shd w:fill="F1F5F8"/>
          </w:tcPr>
          <w:p>
            <w:pPr>
              <w:spacing w:before="40" w:after="60" w:line="240" w:lineRule="auto"/>
            </w:pPr>
            <w:r>
              <w:rPr>
                <w:b w:val="0"/>
                <w:color w:val="000000"/>
                <w:sz w:val="22"/>
              </w:rPr>
              <w:t>Pruebas técnicas con datos sintéticos</w:t>
            </w:r>
          </w:p>
        </w:tc>
        <w:tc>
          <w:tcPr>
            <w:tcW w:type="dxa" w:w="3488"/>
            <w:vAlign w:val="center"/>
            <w:tcMar>
              <w:top w:w="85" w:type="dxa"/>
              <w:left w:w="85" w:type="dxa"/>
              <w:bottom w:w="85" w:type="dxa"/>
              <w:right w:w="85" w:type="dxa"/>
            </w:tcMar>
            <w:shd w:fill="F1F5F8"/>
          </w:tcPr>
          <w:p>
            <w:pPr>
              <w:spacing w:before="40" w:after="60" w:line="240" w:lineRule="auto"/>
            </w:pPr>
            <w:r>
              <w:rPr>
                <w:b w:val="0"/>
                <w:color w:val="000000"/>
                <w:sz w:val="22"/>
              </w:rPr>
              <w:t>pruebas de aceptación de usuarios, usabilidad, aceptación de cliente y entrega operativa</w:t>
            </w:r>
          </w:p>
        </w:tc>
      </w:tr>
    </w:tbl>
    <w:p>
      <w:pPr>
        <w:spacing w:after="0"/>
      </w:pPr>
    </w:p>
    <w:p>
      <w:pPr>
        <w:pStyle w:val="Heading1"/>
      </w:pPr>
      <w:r>
        <w:t>4 Metodología de trabajo</w:t>
      </w:r>
    </w:p>
    <w:p>
      <w:r>
        <w:t>La organización inicial combina definición estructurada del alcance con desarrollo iterativo. En la continuidad individual se aplica un ciclo práctico: registrar una regla, ajustar criterios de aceptación y datos, implementar un incremento acotado, ejecutar casos con resultados esperados y observados, corregir y conservar evidencia. La lista priorizada de requisitos mantiene los identificadores históricos y el plan de ocho columnas concentra responsables, recursos, estados y ajustes. [1] [5]</w:t>
      </w:r>
    </w:p>
    <w:p>
      <w:r>
        <w:t>Esta forma de trabajo es pertinente porque los cambios de negocio afectan simultáneamente pantallas, API, datos y pruebas. Un flujo completo permite comprobar custodia y orden de revisión con más precisión que contar pantallas. Las retrospectivas originales se conservan como antecedentes; no se declaran nuevas reuniones Scrum, una distribución de aseguramiento de calidad entre varios integrantes ni ceremonias sin registro.</w:t>
      </w:r>
    </w:p>
    <w:p>
      <w:r>
        <w:t>La capacidad informada es de tres horas diarias. El incremento futuro G01 a G09 comprende 22 sesiones de tres horas, equivalentes a 66 horas estimadas. Las sesiones no son necesariamente días consecutivos y no incluyen espera de respuestas, defectos nuevos ni ampliaciones de alcance. H-SQL y H-LOCAL conservan duraciones históricas de referencia, separadas de estas 66 horas y de las horas efectivamente trabajadas, que no se encuentran registradas. Los puntos históricos de la lista de trabajo no se convierten en horas ni en un porcentaje global de avance.</w:t>
      </w:r>
    </w:p>
    <w:p>
      <w:pPr>
        <w:pStyle w:val="Heading1"/>
      </w:pPr>
      <w:r>
        <w:t>5 Desarrollo de ingeniería y flujo vigente</w:t>
      </w:r>
    </w:p>
    <w:p>
      <w:r>
        <w:t>La solución vigente es AFRISAN_NUEVO/03_CODIGO/Afrisan.Nuevo.slnx. El cliente Web utiliza el puerto 5286 y la API el 5181. Los proyectos nuevos separan presentación, contratos y servicios. El almacenamiento central de revisión es temporal en memoria; EF Core y PostgreSQL/Supabase siguen como persistencia prevista. Los borradores y fotografías pendientes utilizan el mecanismo local existente en el navegador, sin equivaler a una validación integral sin conexión. [5] [7]</w:t>
      </w:r>
    </w:p>
    <w:p>
      <w:r>
        <w:t>Los estados de OT vigentes son Asignada, En proceso de despacho, En terreno, Pendiente de aprobación de Bodega, Pendiente de revisión del Autorizador y Cerrada. Cada transición necesita el actor y los antecedentes definidos para ella. El Técnico solo consulta candidatos disponibles y pesados de los refrigerantes encargados; no obtiene por esta selección el inventario completo de Bodega.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75"/>
        <w:gridCol w:w="3175"/>
        <w:gridCol w:w="3175"/>
      </w:tblGrid>
      <w:tr>
        <w:trPr>
          <w:tblHeader/>
        </w:trPr>
        <w:tc>
          <w:tcPr>
            <w:tcW w:type="dxa" w:w="2875"/>
            <w:vAlign w:val="center"/>
            <w:tcMar>
              <w:top w:w="85" w:type="dxa"/>
              <w:left w:w="85" w:type="dxa"/>
              <w:bottom w:w="85" w:type="dxa"/>
              <w:right w:w="85" w:type="dxa"/>
            </w:tcMar>
            <w:shd w:fill="24445F"/>
          </w:tcPr>
          <w:p>
            <w:pPr>
              <w:keepNext/>
              <w:spacing w:before="40" w:after="60" w:line="240" w:lineRule="auto"/>
            </w:pPr>
            <w:r>
              <w:rPr>
                <w:b/>
                <w:color w:val="FFFFFF"/>
                <w:sz w:val="22"/>
              </w:rPr>
              <w:t>Etapa</w:t>
            </w:r>
          </w:p>
        </w:tc>
        <w:tc>
          <w:tcPr>
            <w:tcW w:type="dxa" w:w="2232"/>
            <w:vAlign w:val="center"/>
            <w:tcMar>
              <w:top w:w="85" w:type="dxa"/>
              <w:left w:w="85" w:type="dxa"/>
              <w:bottom w:w="85" w:type="dxa"/>
              <w:right w:w="85" w:type="dxa"/>
            </w:tcMar>
            <w:shd w:fill="24445F"/>
          </w:tcPr>
          <w:p>
            <w:pPr>
              <w:keepNext/>
              <w:spacing w:before="40" w:after="60" w:line="240" w:lineRule="auto"/>
            </w:pPr>
            <w:r>
              <w:rPr>
                <w:b/>
                <w:color w:val="FFFFFF"/>
                <w:sz w:val="22"/>
              </w:rPr>
              <w:t>Responsable operativo</w:t>
            </w:r>
          </w:p>
        </w:tc>
        <w:tc>
          <w:tcPr>
            <w:tcW w:type="dxa" w:w="4417"/>
            <w:vAlign w:val="center"/>
            <w:tcMar>
              <w:top w:w="85" w:type="dxa"/>
              <w:left w:w="85" w:type="dxa"/>
              <w:bottom w:w="85" w:type="dxa"/>
              <w:right w:w="85" w:type="dxa"/>
            </w:tcMar>
            <w:shd w:fill="24445F"/>
          </w:tcPr>
          <w:p>
            <w:pPr>
              <w:keepNext/>
              <w:spacing w:before="40" w:after="60" w:line="240" w:lineRule="auto"/>
            </w:pPr>
            <w:r>
              <w:rPr>
                <w:b/>
                <w:color w:val="FFFFFF"/>
                <w:sz w:val="22"/>
              </w:rPr>
              <w:t>Registro y control</w:t>
            </w:r>
          </w:p>
        </w:tc>
      </w:tr>
      <w:tr>
        <w:trPr>
          <w:cantSplit/>
        </w:trPr>
        <w:tc>
          <w:tcPr>
            <w:tcW w:type="dxa" w:w="2875"/>
            <w:vAlign w:val="center"/>
            <w:tcMar>
              <w:top w:w="85" w:type="dxa"/>
              <w:left w:w="85" w:type="dxa"/>
              <w:bottom w:w="85" w:type="dxa"/>
              <w:right w:w="85" w:type="dxa"/>
            </w:tcMar>
          </w:tcPr>
          <w:p>
            <w:pPr>
              <w:spacing w:before="40" w:after="60" w:line="240" w:lineRule="auto"/>
            </w:pPr>
            <w:r>
              <w:rPr>
                <w:b w:val="0"/>
                <w:color w:val="000000"/>
                <w:sz w:val="22"/>
              </w:rPr>
              <w:t>Preparar y asignar OT</w:t>
            </w:r>
          </w:p>
        </w:tc>
        <w:tc>
          <w:tcPr>
            <w:tcW w:type="dxa" w:w="2232"/>
            <w:vAlign w:val="center"/>
            <w:tcMar>
              <w:top w:w="85" w:type="dxa"/>
              <w:left w:w="85" w:type="dxa"/>
              <w:bottom w:w="85" w:type="dxa"/>
              <w:right w:w="85" w:type="dxa"/>
            </w:tcMar>
          </w:tcPr>
          <w:p>
            <w:pPr>
              <w:spacing w:before="40" w:after="60" w:line="240" w:lineRule="auto"/>
            </w:pPr>
            <w:r>
              <w:rPr>
                <w:b w:val="0"/>
                <w:color w:val="000000"/>
                <w:sz w:val="22"/>
              </w:rPr>
              <w:t>Autorizador</w:t>
            </w:r>
          </w:p>
        </w:tc>
        <w:tc>
          <w:tcPr>
            <w:tcW w:type="dxa" w:w="4417"/>
            <w:vAlign w:val="center"/>
            <w:tcMar>
              <w:top w:w="85" w:type="dxa"/>
              <w:left w:w="85" w:type="dxa"/>
              <w:bottom w:w="85" w:type="dxa"/>
              <w:right w:w="85" w:type="dxa"/>
            </w:tcMar>
          </w:tcPr>
          <w:p>
            <w:pPr>
              <w:spacing w:before="40" w:after="60" w:line="240" w:lineRule="auto"/>
            </w:pPr>
            <w:r>
              <w:rPr>
                <w:b w:val="0"/>
                <w:color w:val="000000"/>
                <w:sz w:val="22"/>
              </w:rPr>
              <w:t>Sucursal, encargo, cantidades solicitadas y autorizadas, y Técnico</w:t>
            </w:r>
          </w:p>
        </w:tc>
      </w:tr>
      <w:tr>
        <w:trPr>
          <w:cantSplit/>
        </w:trPr>
        <w:tc>
          <w:tcPr>
            <w:tcW w:type="dxa" w:w="2875"/>
            <w:vAlign w:val="center"/>
            <w:tcMar>
              <w:top w:w="85" w:type="dxa"/>
              <w:left w:w="85" w:type="dxa"/>
              <w:bottom w:w="85" w:type="dxa"/>
              <w:right w:w="85" w:type="dxa"/>
            </w:tcMar>
            <w:shd w:fill="F1F5F8"/>
          </w:tcPr>
          <w:p>
            <w:pPr>
              <w:spacing w:before="40" w:after="60" w:line="240" w:lineRule="auto"/>
            </w:pPr>
            <w:r>
              <w:rPr>
                <w:b w:val="0"/>
                <w:color w:val="000000"/>
                <w:sz w:val="22"/>
              </w:rPr>
              <w:t>Retirar cilindros desde Bodega</w:t>
            </w:r>
          </w:p>
        </w:tc>
        <w:tc>
          <w:tcPr>
            <w:tcW w:type="dxa" w:w="2232"/>
            <w:vAlign w:val="center"/>
            <w:tcMar>
              <w:top w:w="85" w:type="dxa"/>
              <w:left w:w="85" w:type="dxa"/>
              <w:bottom w:w="85" w:type="dxa"/>
              <w:right w:w="85" w:type="dxa"/>
            </w:tcMar>
            <w:shd w:fill="F1F5F8"/>
          </w:tcPr>
          <w:p>
            <w:pPr>
              <w:spacing w:before="40" w:after="60" w:line="240" w:lineRule="auto"/>
            </w:pPr>
            <w:r>
              <w:rPr>
                <w:b w:val="0"/>
                <w:color w:val="000000"/>
                <w:sz w:val="22"/>
              </w:rPr>
              <w:t>Técnico asignado</w:t>
            </w:r>
          </w:p>
        </w:tc>
        <w:tc>
          <w:tcPr>
            <w:tcW w:type="dxa" w:w="4417"/>
            <w:vAlign w:val="center"/>
            <w:tcMar>
              <w:top w:w="85" w:type="dxa"/>
              <w:left w:w="85" w:type="dxa"/>
              <w:bottom w:w="85" w:type="dxa"/>
              <w:right w:w="85" w:type="dxa"/>
            </w:tcMar>
            <w:shd w:fill="F1F5F8"/>
          </w:tcPr>
          <w:p>
            <w:pPr>
              <w:spacing w:before="40" w:after="60" w:line="240" w:lineRule="auto"/>
            </w:pPr>
            <w:r>
              <w:rPr>
                <w:b w:val="0"/>
                <w:color w:val="000000"/>
                <w:sz w:val="22"/>
              </w:rPr>
              <w:t>Cilindro, peso de salida y foto; custodia y estado de despacho</w:t>
            </w:r>
          </w:p>
        </w:tc>
      </w:tr>
      <w:tr>
        <w:trPr>
          <w:cantSplit/>
        </w:trPr>
        <w:tc>
          <w:tcPr>
            <w:tcW w:type="dxa" w:w="2875"/>
            <w:vAlign w:val="center"/>
            <w:tcMar>
              <w:top w:w="85" w:type="dxa"/>
              <w:left w:w="85" w:type="dxa"/>
              <w:bottom w:w="85" w:type="dxa"/>
              <w:right w:w="85" w:type="dxa"/>
            </w:tcMar>
          </w:tcPr>
          <w:p>
            <w:pPr>
              <w:spacing w:before="40" w:after="60" w:line="240" w:lineRule="auto"/>
            </w:pPr>
            <w:r>
              <w:rPr>
                <w:b w:val="0"/>
                <w:color w:val="000000"/>
                <w:sz w:val="22"/>
              </w:rPr>
              <w:t>Reemplazar o agregar en terreno</w:t>
            </w:r>
          </w:p>
        </w:tc>
        <w:tc>
          <w:tcPr>
            <w:tcW w:type="dxa" w:w="2232"/>
            <w:vAlign w:val="center"/>
            <w:tcMar>
              <w:top w:w="85" w:type="dxa"/>
              <w:left w:w="85" w:type="dxa"/>
              <w:bottom w:w="85" w:type="dxa"/>
              <w:right w:w="85" w:type="dxa"/>
            </w:tcMar>
          </w:tcPr>
          <w:p>
            <w:pPr>
              <w:spacing w:before="40" w:after="60" w:line="240" w:lineRule="auto"/>
            </w:pPr>
            <w:r>
              <w:rPr>
                <w:b w:val="0"/>
                <w:color w:val="000000"/>
                <w:sz w:val="22"/>
              </w:rPr>
              <w:t>Técnico asignado</w:t>
            </w:r>
          </w:p>
        </w:tc>
        <w:tc>
          <w:tcPr>
            <w:tcW w:type="dxa" w:w="4417"/>
            <w:vAlign w:val="center"/>
            <w:tcMar>
              <w:top w:w="85" w:type="dxa"/>
              <w:left w:w="85" w:type="dxa"/>
              <w:bottom w:w="85" w:type="dxa"/>
              <w:right w:w="85" w:type="dxa"/>
            </w:tcMar>
          </w:tcPr>
          <w:p>
            <w:pPr>
              <w:spacing w:before="40" w:after="60" w:line="240" w:lineRule="auto"/>
            </w:pPr>
            <w:r>
              <w:rPr>
                <w:b w:val="0"/>
                <w:color w:val="000000"/>
                <w:sz w:val="22"/>
              </w:rPr>
              <w:t>Envases diferenciados, pesos y fotos del retirado e instalado según operación</w:t>
            </w:r>
          </w:p>
        </w:tc>
      </w:tr>
      <w:tr>
        <w:trPr>
          <w:cantSplit/>
        </w:trPr>
        <w:tc>
          <w:tcPr>
            <w:tcW w:type="dxa" w:w="2875"/>
            <w:vAlign w:val="center"/>
            <w:tcMar>
              <w:top w:w="85" w:type="dxa"/>
              <w:left w:w="85" w:type="dxa"/>
              <w:bottom w:w="85" w:type="dxa"/>
              <w:right w:w="85" w:type="dxa"/>
            </w:tcMar>
            <w:shd w:fill="F1F5F8"/>
          </w:tcPr>
          <w:p>
            <w:pPr>
              <w:spacing w:before="40" w:after="60" w:line="240" w:lineRule="auto"/>
            </w:pPr>
            <w:r>
              <w:rPr>
                <w:b w:val="0"/>
                <w:color w:val="000000"/>
                <w:sz w:val="22"/>
              </w:rPr>
              <w:t>Informar devolución y término</w:t>
            </w:r>
          </w:p>
        </w:tc>
        <w:tc>
          <w:tcPr>
            <w:tcW w:type="dxa" w:w="2232"/>
            <w:vAlign w:val="center"/>
            <w:tcMar>
              <w:top w:w="85" w:type="dxa"/>
              <w:left w:w="85" w:type="dxa"/>
              <w:bottom w:w="85" w:type="dxa"/>
              <w:right w:w="85" w:type="dxa"/>
            </w:tcMar>
            <w:shd w:fill="F1F5F8"/>
          </w:tcPr>
          <w:p>
            <w:pPr>
              <w:spacing w:before="40" w:after="60" w:line="240" w:lineRule="auto"/>
            </w:pPr>
            <w:r>
              <w:rPr>
                <w:b w:val="0"/>
                <w:color w:val="000000"/>
                <w:sz w:val="22"/>
              </w:rPr>
              <w:t>Técnico asignado</w:t>
            </w:r>
          </w:p>
        </w:tc>
        <w:tc>
          <w:tcPr>
            <w:tcW w:type="dxa" w:w="4417"/>
            <w:vAlign w:val="center"/>
            <w:tcMar>
              <w:top w:w="85" w:type="dxa"/>
              <w:left w:w="85" w:type="dxa"/>
              <w:bottom w:w="85" w:type="dxa"/>
              <w:right w:w="85" w:type="dxa"/>
            </w:tcMar>
            <w:shd w:fill="F1F5F8"/>
          </w:tcPr>
          <w:p>
            <w:pPr>
              <w:spacing w:before="40" w:after="60" w:line="240" w:lineRule="auto"/>
            </w:pPr>
            <w:r>
              <w:rPr>
                <w:b w:val="0"/>
                <w:color w:val="000000"/>
                <w:sz w:val="22"/>
              </w:rPr>
              <w:t>Declaración de entrega e incidencias; no equivale a recepción física</w:t>
            </w:r>
          </w:p>
        </w:tc>
      </w:tr>
      <w:tr>
        <w:trPr>
          <w:cantSplit/>
        </w:trPr>
        <w:tc>
          <w:tcPr>
            <w:tcW w:type="dxa" w:w="2875"/>
            <w:vAlign w:val="center"/>
            <w:tcMar>
              <w:top w:w="85" w:type="dxa"/>
              <w:left w:w="85" w:type="dxa"/>
              <w:bottom w:w="85" w:type="dxa"/>
              <w:right w:w="85" w:type="dxa"/>
            </w:tcMar>
          </w:tcPr>
          <w:p>
            <w:pPr>
              <w:keepNext/>
              <w:spacing w:before="40" w:after="60" w:line="240" w:lineRule="auto"/>
            </w:pPr>
            <w:r>
              <w:rPr>
                <w:b w:val="0"/>
                <w:color w:val="000000"/>
                <w:sz w:val="22"/>
              </w:rPr>
              <w:t>Recibir y aprobar</w:t>
            </w:r>
          </w:p>
        </w:tc>
        <w:tc>
          <w:tcPr>
            <w:tcW w:type="dxa" w:w="2232"/>
            <w:vAlign w:val="center"/>
            <w:tcMar>
              <w:top w:w="85" w:type="dxa"/>
              <w:left w:w="85" w:type="dxa"/>
              <w:bottom w:w="85" w:type="dxa"/>
              <w:right w:w="85" w:type="dxa"/>
            </w:tcMar>
          </w:tcPr>
          <w:p>
            <w:pPr>
              <w:keepNext/>
              <w:spacing w:before="40" w:after="60" w:line="240" w:lineRule="auto"/>
            </w:pPr>
            <w:r>
              <w:rPr>
                <w:b w:val="0"/>
                <w:color w:val="000000"/>
                <w:sz w:val="22"/>
              </w:rPr>
              <w:t>Bodega</w:t>
            </w:r>
          </w:p>
        </w:tc>
        <w:tc>
          <w:tcPr>
            <w:tcW w:type="dxa" w:w="4417"/>
            <w:vAlign w:val="center"/>
            <w:tcMar>
              <w:top w:w="85" w:type="dxa"/>
              <w:left w:w="85" w:type="dxa"/>
              <w:bottom w:w="85" w:type="dxa"/>
              <w:right w:w="85" w:type="dxa"/>
            </w:tcMar>
          </w:tcPr>
          <w:p>
            <w:pPr>
              <w:keepNext/>
              <w:spacing w:before="40" w:after="60" w:line="240" w:lineRule="auto"/>
            </w:pPr>
            <w:r>
              <w:rPr>
                <w:b w:val="0"/>
                <w:color w:val="000000"/>
                <w:sz w:val="22"/>
              </w:rPr>
              <w:t>Peso recibido independiente; revisión sin retornos pendientes</w:t>
            </w:r>
          </w:p>
        </w:tc>
      </w:tr>
      <w:tr>
        <w:trPr>
          <w:cantSplit/>
        </w:trPr>
        <w:tc>
          <w:tcPr>
            <w:tcW w:type="dxa" w:w="2875"/>
            <w:vAlign w:val="center"/>
            <w:tcMar>
              <w:top w:w="85" w:type="dxa"/>
              <w:left w:w="85" w:type="dxa"/>
              <w:bottom w:w="85" w:type="dxa"/>
              <w:right w:w="85" w:type="dxa"/>
            </w:tcMar>
            <w:shd w:fill="F1F5F8"/>
          </w:tcPr>
          <w:p>
            <w:pPr>
              <w:spacing w:before="40" w:after="60" w:line="240" w:lineRule="auto"/>
            </w:pPr>
            <w:r>
              <w:rPr>
                <w:b w:val="0"/>
                <w:color w:val="000000"/>
                <w:sz w:val="22"/>
              </w:rPr>
              <w:t>Revisar y cerrar</w:t>
            </w:r>
          </w:p>
        </w:tc>
        <w:tc>
          <w:tcPr>
            <w:tcW w:type="dxa" w:w="2232"/>
            <w:vAlign w:val="center"/>
            <w:tcMar>
              <w:top w:w="85" w:type="dxa"/>
              <w:left w:w="85" w:type="dxa"/>
              <w:bottom w:w="85" w:type="dxa"/>
              <w:right w:w="85" w:type="dxa"/>
            </w:tcMar>
            <w:shd w:fill="F1F5F8"/>
          </w:tcPr>
          <w:p>
            <w:pPr>
              <w:spacing w:before="40" w:after="60" w:line="240" w:lineRule="auto"/>
            </w:pPr>
            <w:r>
              <w:rPr>
                <w:b w:val="0"/>
                <w:color w:val="000000"/>
                <w:sz w:val="22"/>
              </w:rPr>
              <w:t>Autorizador</w:t>
            </w:r>
          </w:p>
        </w:tc>
        <w:tc>
          <w:tcPr>
            <w:tcW w:type="dxa" w:w="4417"/>
            <w:vAlign w:val="center"/>
            <w:tcMar>
              <w:top w:w="85" w:type="dxa"/>
              <w:left w:w="85" w:type="dxa"/>
              <w:bottom w:w="85" w:type="dxa"/>
              <w:right w:w="85" w:type="dxa"/>
            </w:tcMar>
            <w:shd w:fill="F1F5F8"/>
          </w:tcPr>
          <w:p>
            <w:pPr>
              <w:spacing w:before="40" w:after="60" w:line="240" w:lineRule="auto"/>
            </w:pPr>
            <w:r>
              <w:rPr>
                <w:b w:val="0"/>
                <w:color w:val="000000"/>
                <w:sz w:val="22"/>
              </w:rPr>
              <w:t>Revisión posterior a Bodega, incidencias resueltas, actor y fecha</w:t>
            </w:r>
          </w:p>
        </w:tc>
      </w:tr>
    </w:tbl>
    <w:p>
      <w:pPr>
        <w:spacing w:after="0"/>
      </w:pPr>
    </w:p>
    <w:p>
      <w:pPr>
        <w:pStyle w:val="Heading1"/>
      </w:pPr>
      <w:r>
        <w:t>6 Calidad y evidencias seleccionadas</w:t>
      </w:r>
    </w:p>
    <w:p>
      <w:r>
        <w:t>La evidencia del flujo actual se encuentra en FLUJO_TERRENO_2026_10_25. La ejecución 20261025-212141-bb482c contiene tres OT cerradas con tres refrigerantes y nueve cilindros sintéticos, 274 comprobaciones correctas y cero fallos. Incluye respuestas HTTP y verificaciones de estado; no representa 274 escenarios independientes ni una medición de cobertura de código. El recorrido adicional de OT-000004 se realizó desde las pantallas y conserva capturas y comprobación final del historial. [8] [9] [11]</w:t>
      </w:r>
    </w:p>
    <w:p>
      <w:r>
        <w:t>Se verificaron el retiro exclusivo del Técnico asignado, obligatoriedad de foto y peso, reintentos sin duplicación, rechazo de versión antigua, recepción posterior a la devolución informada, bloqueo de aprobación temprana de Bodega y revisión del Autorizador posterior a Bodega. También se conservó una diferencia sintética de 50 gramos entre terreno y recepción, sin sobrescribir lecturas ni atribuir automáticamente pérdida.</w:t>
      </w:r>
    </w:p>
    <w:p>
      <w:r>
        <w:t>La validación SQL del 25 de octubre ejecutó 144 comprobaciones sobre 31 tablas en PostgreSQL 18.6 embebido en PGlite 0.5.11. Comprobó restricciones, custodia, fotos, revisiones, historial de límites, costos y otros elementos del esquema. No ejecutó SQL en Supabase y no valida almacenamiento de archivos, sesiones concurrentes, autenticación real ni la integración API a base. Las comprobaciones API y SQL acreditan capas diferentes y se presentan por separado.</w:t>
      </w:r>
    </w:p>
    <w:p>
      <w:r>
        <w:t>Las imágenes de ensayo llevan la marca PRUEBA SINTÉTICA. Sirven para comprobar obligatoriedad, asociación y consulta de archivos; no acreditan lecturas reales de balanza ni trabajo físico del cliente. El recorrido de navegador fue con conexión y carga de archivos, sin cámara física. La compilación registrada para este incremento terminó sin errores ni advertencias.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75"/>
        <w:gridCol w:w="3175"/>
        <w:gridCol w:w="3175"/>
      </w:tblGrid>
      <w:tr>
        <w:trPr>
          <w:tblHeader/>
        </w:trPr>
        <w:tc>
          <w:tcPr>
            <w:tcW w:type="dxa" w:w="3068"/>
            <w:vAlign w:val="center"/>
            <w:tcMar>
              <w:top w:w="85" w:type="dxa"/>
              <w:left w:w="85" w:type="dxa"/>
              <w:bottom w:w="85" w:type="dxa"/>
              <w:right w:w="85" w:type="dxa"/>
            </w:tcMar>
            <w:shd w:fill="24445F"/>
          </w:tcPr>
          <w:p>
            <w:pPr>
              <w:keepNext/>
              <w:spacing w:before="40" w:after="60" w:line="240" w:lineRule="auto"/>
            </w:pPr>
            <w:r>
              <w:rPr>
                <w:b/>
                <w:color w:val="FFFFFF"/>
                <w:sz w:val="22"/>
              </w:rPr>
              <w:t>Evidencia</w:t>
            </w:r>
          </w:p>
        </w:tc>
        <w:tc>
          <w:tcPr>
            <w:tcW w:type="dxa" w:w="3296"/>
            <w:vAlign w:val="center"/>
            <w:tcMar>
              <w:top w:w="85" w:type="dxa"/>
              <w:left w:w="85" w:type="dxa"/>
              <w:bottom w:w="85" w:type="dxa"/>
              <w:right w:w="85" w:type="dxa"/>
            </w:tcMar>
            <w:shd w:fill="24445F"/>
          </w:tcPr>
          <w:p>
            <w:pPr>
              <w:keepNext/>
              <w:spacing w:before="40" w:after="60" w:line="240" w:lineRule="auto"/>
            </w:pPr>
            <w:r>
              <w:rPr>
                <w:b/>
                <w:color w:val="FFFFFF"/>
                <w:sz w:val="22"/>
              </w:rPr>
              <w:t>Qué demuestra</w:t>
            </w:r>
          </w:p>
        </w:tc>
        <w:tc>
          <w:tcPr>
            <w:tcW w:type="dxa" w:w="3160"/>
            <w:vAlign w:val="center"/>
            <w:tcMar>
              <w:top w:w="85" w:type="dxa"/>
              <w:left w:w="85" w:type="dxa"/>
              <w:bottom w:w="85" w:type="dxa"/>
              <w:right w:w="85" w:type="dxa"/>
            </w:tcMar>
            <w:shd w:fill="24445F"/>
          </w:tcPr>
          <w:p>
            <w:pPr>
              <w:keepNext/>
              <w:spacing w:before="40" w:after="60" w:line="240" w:lineRule="auto"/>
            </w:pPr>
            <w:r>
              <w:rPr>
                <w:b/>
                <w:color w:val="FFFFFF"/>
                <w:sz w:val="22"/>
              </w:rPr>
              <w:t>Qué no demuestra</w:t>
            </w:r>
          </w:p>
        </w:tc>
      </w:tr>
      <w:tr>
        <w:trPr>
          <w:cantSplit/>
        </w:trPr>
        <w:tc>
          <w:tcPr>
            <w:tcW w:type="dxa" w:w="3068"/>
            <w:vAlign w:val="center"/>
            <w:tcMar>
              <w:top w:w="85" w:type="dxa"/>
              <w:left w:w="85" w:type="dxa"/>
              <w:bottom w:w="85" w:type="dxa"/>
              <w:right w:w="85" w:type="dxa"/>
            </w:tcMar>
          </w:tcPr>
          <w:p>
            <w:pPr>
              <w:spacing w:before="40" w:after="60" w:line="240" w:lineRule="auto"/>
            </w:pPr>
            <w:r>
              <w:rPr>
                <w:b w:val="0"/>
                <w:color w:val="000000"/>
                <w:sz w:val="22"/>
              </w:rPr>
              <w:t>Resultado del flujo corregido y capturas</w:t>
            </w:r>
          </w:p>
        </w:tc>
        <w:tc>
          <w:tcPr>
            <w:tcW w:type="dxa" w:w="3296"/>
            <w:vAlign w:val="center"/>
            <w:tcMar>
              <w:top w:w="85" w:type="dxa"/>
              <w:left w:w="85" w:type="dxa"/>
              <w:bottom w:w="85" w:type="dxa"/>
              <w:right w:w="85" w:type="dxa"/>
            </w:tcMar>
          </w:tcPr>
          <w:p>
            <w:pPr>
              <w:spacing w:before="40" w:after="60" w:line="240" w:lineRule="auto"/>
            </w:pPr>
            <w:r>
              <w:rPr>
                <w:b w:val="0"/>
                <w:color w:val="000000"/>
                <w:sz w:val="22"/>
              </w:rPr>
              <w:t>Secuencia y bloqueos en el prototipo en memoria</w:t>
            </w:r>
          </w:p>
        </w:tc>
        <w:tc>
          <w:tcPr>
            <w:tcW w:type="dxa" w:w="3160"/>
            <w:vAlign w:val="center"/>
            <w:tcMar>
              <w:top w:w="85" w:type="dxa"/>
              <w:left w:w="85" w:type="dxa"/>
              <w:bottom w:w="85" w:type="dxa"/>
              <w:right w:w="85" w:type="dxa"/>
            </w:tcMar>
          </w:tcPr>
          <w:p>
            <w:pPr>
              <w:spacing w:before="40" w:after="60" w:line="240" w:lineRule="auto"/>
            </w:pPr>
            <w:r>
              <w:rPr>
                <w:b w:val="0"/>
                <w:color w:val="000000"/>
                <w:sz w:val="22"/>
              </w:rPr>
              <w:t>Aceptación del cliente o persistencia durable</w:t>
            </w:r>
          </w:p>
        </w:tc>
      </w:tr>
      <w:tr>
        <w:trPr>
          <w:cantSplit/>
        </w:trPr>
        <w:tc>
          <w:tcPr>
            <w:tcW w:type="dxa" w:w="3068"/>
            <w:vAlign w:val="center"/>
            <w:tcMar>
              <w:top w:w="85" w:type="dxa"/>
              <w:left w:w="85" w:type="dxa"/>
              <w:bottom w:w="85" w:type="dxa"/>
              <w:right w:w="85" w:type="dxa"/>
            </w:tcMar>
            <w:shd w:fill="F1F5F8"/>
          </w:tcPr>
          <w:p>
            <w:pPr>
              <w:spacing w:before="40" w:after="60" w:line="240" w:lineRule="auto"/>
            </w:pPr>
            <w:r>
              <w:rPr>
                <w:b w:val="0"/>
                <w:color w:val="000000"/>
                <w:sz w:val="22"/>
              </w:rPr>
              <w:t>SQL y resultado local de 144 comprobaciones</w:t>
            </w:r>
          </w:p>
        </w:tc>
        <w:tc>
          <w:tcPr>
            <w:tcW w:type="dxa" w:w="3296"/>
            <w:vAlign w:val="center"/>
            <w:tcMar>
              <w:top w:w="85" w:type="dxa"/>
              <w:left w:w="85" w:type="dxa"/>
              <w:bottom w:w="85" w:type="dxa"/>
              <w:right w:w="85" w:type="dxa"/>
            </w:tcMar>
            <w:shd w:fill="F1F5F8"/>
          </w:tcPr>
          <w:p>
            <w:pPr>
              <w:spacing w:before="40" w:after="60" w:line="240" w:lineRule="auto"/>
            </w:pPr>
            <w:r>
              <w:rPr>
                <w:b w:val="0"/>
                <w:color w:val="000000"/>
                <w:sz w:val="22"/>
              </w:rPr>
              <w:t>Coherencia de las reglas ensayadas en el esquema</w:t>
            </w:r>
          </w:p>
        </w:tc>
        <w:tc>
          <w:tcPr>
            <w:tcW w:type="dxa" w:w="3160"/>
            <w:vAlign w:val="center"/>
            <w:tcMar>
              <w:top w:w="85" w:type="dxa"/>
              <w:left w:w="85" w:type="dxa"/>
              <w:bottom w:w="85" w:type="dxa"/>
              <w:right w:w="85" w:type="dxa"/>
            </w:tcMar>
            <w:shd w:fill="F1F5F8"/>
          </w:tcPr>
          <w:p>
            <w:pPr>
              <w:spacing w:before="40" w:after="60" w:line="240" w:lineRule="auto"/>
            </w:pPr>
            <w:r>
              <w:rPr>
                <w:b w:val="0"/>
                <w:color w:val="000000"/>
                <w:sz w:val="22"/>
              </w:rPr>
              <w:t>Despliegue Supabase ni uso por la API</w:t>
            </w:r>
          </w:p>
        </w:tc>
      </w:tr>
      <w:tr>
        <w:trPr>
          <w:cantSplit/>
        </w:trPr>
        <w:tc>
          <w:tcPr>
            <w:tcW w:type="dxa" w:w="3068"/>
            <w:vAlign w:val="center"/>
            <w:tcMar>
              <w:top w:w="85" w:type="dxa"/>
              <w:left w:w="85" w:type="dxa"/>
              <w:bottom w:w="85" w:type="dxa"/>
              <w:right w:w="85" w:type="dxa"/>
            </w:tcMar>
          </w:tcPr>
          <w:p>
            <w:pPr>
              <w:keepNext/>
              <w:spacing w:before="40" w:after="60" w:line="240" w:lineRule="auto"/>
            </w:pPr>
            <w:r>
              <w:rPr>
                <w:b w:val="0"/>
                <w:color w:val="000000"/>
                <w:sz w:val="22"/>
              </w:rPr>
              <w:t>Código y contratos nuevos</w:t>
            </w:r>
          </w:p>
        </w:tc>
        <w:tc>
          <w:tcPr>
            <w:tcW w:type="dxa" w:w="3296"/>
            <w:vAlign w:val="center"/>
            <w:tcMar>
              <w:top w:w="85" w:type="dxa"/>
              <w:left w:w="85" w:type="dxa"/>
              <w:bottom w:w="85" w:type="dxa"/>
              <w:right w:w="85" w:type="dxa"/>
            </w:tcMar>
          </w:tcPr>
          <w:p>
            <w:pPr>
              <w:keepNext/>
              <w:spacing w:before="40" w:after="60" w:line="240" w:lineRule="auto"/>
            </w:pPr>
            <w:r>
              <w:rPr>
                <w:b w:val="0"/>
                <w:color w:val="000000"/>
                <w:sz w:val="22"/>
              </w:rPr>
              <w:t>Implementación disponible para inspección</w:t>
            </w:r>
          </w:p>
        </w:tc>
        <w:tc>
          <w:tcPr>
            <w:tcW w:type="dxa" w:w="3160"/>
            <w:vAlign w:val="center"/>
            <w:tcMar>
              <w:top w:w="85" w:type="dxa"/>
              <w:left w:w="85" w:type="dxa"/>
              <w:bottom w:w="85" w:type="dxa"/>
              <w:right w:w="85" w:type="dxa"/>
            </w:tcMar>
          </w:tcPr>
          <w:p>
            <w:pPr>
              <w:keepNext/>
              <w:spacing w:before="40" w:after="60" w:line="240" w:lineRule="auto"/>
            </w:pPr>
            <w:r>
              <w:rPr>
                <w:b w:val="0"/>
                <w:color w:val="000000"/>
                <w:sz w:val="22"/>
              </w:rPr>
              <w:t>Cobertura completa ni todas las HU aceptadas</w:t>
            </w:r>
          </w:p>
        </w:tc>
      </w:tr>
      <w:tr>
        <w:trPr>
          <w:cantSplit/>
        </w:trPr>
        <w:tc>
          <w:tcPr>
            <w:tcW w:type="dxa" w:w="3068"/>
            <w:vAlign w:val="center"/>
            <w:tcMar>
              <w:top w:w="85" w:type="dxa"/>
              <w:left w:w="85" w:type="dxa"/>
              <w:bottom w:w="85" w:type="dxa"/>
              <w:right w:w="85" w:type="dxa"/>
            </w:tcMar>
            <w:shd w:fill="F1F5F8"/>
          </w:tcPr>
          <w:p>
            <w:pPr>
              <w:spacing w:before="40" w:after="60" w:line="240" w:lineRule="auto"/>
            </w:pPr>
            <w:r>
              <w:rPr>
                <w:b w:val="0"/>
                <w:color w:val="000000"/>
                <w:sz w:val="22"/>
              </w:rPr>
              <w:t>listas de trabajo, acta y plan actualizado</w:t>
            </w:r>
          </w:p>
        </w:tc>
        <w:tc>
          <w:tcPr>
            <w:tcW w:type="dxa" w:w="3296"/>
            <w:vAlign w:val="center"/>
            <w:tcMar>
              <w:top w:w="85" w:type="dxa"/>
              <w:left w:w="85" w:type="dxa"/>
              <w:bottom w:w="85" w:type="dxa"/>
              <w:right w:w="85" w:type="dxa"/>
            </w:tcMar>
            <w:shd w:fill="F1F5F8"/>
          </w:tcPr>
          <w:p>
            <w:pPr>
              <w:spacing w:before="40" w:after="60" w:line="240" w:lineRule="auto"/>
            </w:pPr>
            <w:r>
              <w:rPr>
                <w:b w:val="0"/>
                <w:color w:val="000000"/>
                <w:sz w:val="22"/>
              </w:rPr>
              <w:t>Trazabilidad de alcance y siguientes acciones</w:t>
            </w:r>
          </w:p>
        </w:tc>
        <w:tc>
          <w:tcPr>
            <w:tcW w:type="dxa" w:w="3160"/>
            <w:vAlign w:val="center"/>
            <w:tcMar>
              <w:top w:w="85" w:type="dxa"/>
              <w:left w:w="85" w:type="dxa"/>
              <w:bottom w:w="85" w:type="dxa"/>
              <w:right w:w="85" w:type="dxa"/>
            </w:tcMar>
            <w:shd w:fill="F1F5F8"/>
          </w:tcPr>
          <w:p>
            <w:pPr>
              <w:spacing w:before="40" w:after="60" w:line="240" w:lineRule="auto"/>
            </w:pPr>
            <w:r>
              <w:rPr>
                <w:b w:val="0"/>
                <w:color w:val="000000"/>
                <w:sz w:val="22"/>
              </w:rPr>
              <w:t>Ejecución de tareas que siguen pendientes</w:t>
            </w:r>
          </w:p>
        </w:tc>
      </w:tr>
    </w:tbl>
    <w:p>
      <w:pPr>
        <w:spacing w:after="0"/>
      </w:pPr>
    </w:p>
    <w:p>
      <w:pPr>
        <w:pStyle w:val="Heading1"/>
      </w:pPr>
      <w:r>
        <w:t>7 Dificultades facilitadores y ajustes</w:t>
      </w:r>
    </w:p>
    <w:p>
      <w:r>
        <w:t>La dificultad principal fue la diferencia entre la recarga de equipos planteada inicialmente y el reemplazo físico de cilindros aclarado después. Se corrigieron el responsable del retiro y el orden de revisión; el esquema nuevo separa pesajes, ubicaciones, operaciones y evidencias. No se aplica una resta entre dos envases distintos para afirmar consumo ni se considera todo el gas instalado como emisión. [5] [12]</w:t>
      </w:r>
    </w:p>
    <w:p>
      <w:r>
        <w:t>La continuidad individual elimina la disponibilidad supuesta de responsables separados para desarrollo, datos y aseguramiento de calidad. Dante concentra esas actividades, con revisión de negocio a cargo de la contraparte y evaluación a cargo del docente. Las pruebas repetibles, los resultados conservados y la separación del trabajo nuevo facilitan la continuidad. El cambio de integrantes no permite atribuir a Dante los aportes históricos ajenos.</w:t>
      </w:r>
    </w:p>
    <w:p>
      <w:r>
        <w:t>La memoria del servidor permite revisar el flujo con rapidez, pero impide ofrecer historia operativa durable. Por ello la próxima dependencia técnica es conectar persistencia y almacenamiento privado, sustituir cuentas de demostración y repetir el flujo después de reiniciar. Power BI se conserva en el alcance y necesita datos durables y definiciones acordadas; la integración ERP aún no existe.</w:t>
      </w:r>
    </w:p>
    <w:p>
      <w:r>
        <w:t>El plan no elimina silenciosamente metas ni funcionalidades comprometidas. Se reordena su ejecución, se explicitan pendientes y se separa evidencia documental de implementación. La referencia de semanas informada por el estudiante permite calcular fechas de planificación; las fechas oficiales de entrega y defensa y la adecuación individual deben acordarse con el docente.</w:t>
      </w:r>
    </w:p>
    <w:p>
      <w:pPr>
        <w:pStyle w:val="Heading1"/>
      </w:pPr>
      <w:r>
        <w:t>8 Monitoreo y siguientes incrementos</w:t>
      </w:r>
    </w:p>
    <w:p>
      <w:r>
        <w:t>El plan de trabajo de ocho columnas del paquete Afrisan_DM es el registro operativo de esta actualización. Mantiene los estados permitidos por la guía: En curso, Con retraso, No iniciado, Completado y Ajustada. Una actividad solo se marca Completado dentro del alcance que su evidencia demuestra; por ejemplo, documentar un esquema no equivale a completar la persistencia de la aplicación. [1]</w:t>
      </w:r>
    </w:p>
    <w:p>
      <w:r>
        <w:t>La prioridad siguiente es verificar decisiones pendientes, integrar el esquema y los archivos, y repetir los casos de custodia y revisión con datos persistentes. Después deben ensayarse usuarios reales, concurrencia, cámara y operación sin red; integrar límites acordados y preparar las consultas para Power BI. La integración con exportaciones de Defontana o una interfaz simulada, los certificados y la transferencia a usuarios siguen dentro del trabajo por completar.</w:t>
      </w:r>
    </w:p>
    <w:p>
      <w:r>
        <w:t>La referencia de calendario informada por el estudiante el 28 de octubre de 2026 sitúa esa fecha en la semana 12 y establece semanas de jueves a miércoles. De ello se calcula la semana 1 desde el 6 de agosto, la semana 12 del 22 al 28 de octubre y la semana 18 del 3 al 9 de diciembre de 2026. La distribución de Fase 1 en S1-S6, Fase 2 en S7-S16 y Fase 3 en S17-S18 es una propuesta de organización; no acredita fechas oficiales de entrega o defensa. El cálculo supone semanas consecutivas, sin ajustes por recesos o recuperaciones.</w:t>
      </w:r>
    </w:p>
    <w:p>
      <w:r>
        <w:t>Las pautas sitúan la formativa en S2 y el avance en S9. La revisión actual de S12 no altera esos hitos ni supone que fueron entregados o aprobados. [17] [2]</w:t>
      </w:r>
    </w:p>
    <w:p>
      <w:r>
        <w:t>Los registros del paquete son FASE_1/03_Plan_de_Trabajo_e_Hitos_Afrisan_DM.xlsx (plan de siete columnas), FASE_1/04_Carta_Gantt_Afrisan_DM.xlsx (distribución académica y sesiones) y FASE_2/01_Plan_de_Trabajo_y_Backlog_Fase_2_Afrisan_DM.xlsx (seguimiento de ocho columnas). La evidencia y los pendientes se consolidan en FASE_2/05_Evidencias_y_Pendientes_Afrisan_DM.xlsx.</w:t>
      </w:r>
    </w:p>
    <w:p>
      <w:pPr>
        <w:pStyle w:val="ListBullet"/>
      </w:pPr>
      <w:r>
        <w:t>Integración persistente: evidencia de los mismos registros y fotos antes y después de reiniciar API y navegador.</w:t>
      </w:r>
    </w:p>
    <w:p>
      <w:pPr>
        <w:pStyle w:val="ListBullet"/>
      </w:pPr>
      <w:r>
        <w:t>Seguridad: identidades reales, autorización por rol, almacenamiento privado de archivos y pruebas con técnicos diferentes.</w:t>
      </w:r>
    </w:p>
    <w:p>
      <w:pPr>
        <w:pStyle w:val="ListBullet"/>
      </w:pPr>
      <w:r>
        <w:t>Reglas: acordar período, masa computada, excesos, tolerancias, rechazo y rectificación; conservar versiones.</w:t>
      </w:r>
    </w:p>
    <w:p>
      <w:pPr>
        <w:pStyle w:val="ListBullet"/>
      </w:pPr>
      <w:r>
        <w:t>Calidad: casos de aceptación con usuarios, resultados esperados y observados, sin reemplazar pruebas de aceptación de usuarios por ensayos sintéticos.</w:t>
      </w:r>
    </w:p>
    <w:p>
      <w:pPr>
        <w:pStyle w:val="ListBullet"/>
        <w:keepNext/>
      </w:pPr>
      <w:r>
        <w:t>Analítica: medidas de inventario, custodia, costos y ambiente con definición de fuentes y permisos.</w:t>
      </w:r>
    </w:p>
    <w:p>
      <w:pPr>
        <w:pStyle w:val="ListBullet"/>
      </w:pPr>
      <w:r>
        <w:t>Entrega: reflexión personal redactada; revisión personal recomendada antes de presentar, acuerdo docente pendiente, manuales y evidencias disponibles para evaluación.</w:t>
      </w:r>
    </w:p>
    <w:p>
      <w:pPr>
        <w:pStyle w:val="Heading1"/>
      </w:pPr>
      <w:r>
        <w:t>9 Conclusiones y reflexión individual</w:t>
      </w:r>
    </w:p>
    <w:p>
      <w:r>
        <w:t>La evidencia actual respalda un prototipo funcional para el inventario de cilindros, el reemplazo físico y la aprobación secuencial. El flujo probado conserva por separado las identidades de los cilindros, los registros de pesaje y las fotografías; la aprobación de Bodega precede a la revisión final del Autorizador. Las comprobaciones locales del SQL también proporcionan una base técnica para el incremento de persistencia. Estos resultados demuestran avances en condiciones de prueba locales y con datos sintéticos; no acreditan preparación para producción ni aceptación del cliente. [7] [10]</w:t>
      </w:r>
    </w:p>
    <w:p>
      <w:r>
        <w:t>Para mi continuidad individual, el principal aprendizaje práctico es mantener alineadas las definiciones del negocio, la implementación y la evidencia. La distinción entre el cilindro instalado y el devuelto es un ejemplo concreto: afecta las relaciones de datos, los registros del Técnico, las verificaciones de Bodega y los criterios utilizados para probar el flujo. Por ello, un cambio en esta regla requiere una revisión coordinada de esos elementos. [5]</w:t>
      </w:r>
    </w:p>
    <w:p>
      <w:r>
        <w:t>Mis intereses en desarrollo de software, bases de datos y automatización se reflejan en este trabajo; los controles por rol y el módulo de informes previsto lo relacionan con la ciberseguridad y el análisis de datos. Dentro de la disponibilidad documentada de tres horas diarias, mis prioridades son los datos y las fotografías durables, las identidades de usuarios reales y la validación en las condiciones de operación previstas. Mediré el avance mediante resultados registrados y criterios explícitos de término, distinguiendo entre una funcionalidad implementada, una prueba aprobada y un resultado aceptado por los usuarios. [15] [16]</w:t>
      </w:r>
    </w:p>
    <w:p>
      <w:pPr>
        <w:pStyle w:val="Heading1"/>
      </w:pPr>
      <w:r>
        <w:t>10 Referencias y anexos de evidencia</w:t>
      </w:r>
    </w:p>
    <w:p>
      <w:r>
        <w:t>Las guías académicas y los registros del proyecto se citan por su título y ruta en la lista de fuentes. Las capturas y resultados de la carpeta de evidencias del paquete conservan el origen y la fecha de ejecución. Los antecedentes del 20 y 22 de octubre permiten explicar la evolución, mientras que el acuerdo y la prueba del 25 de octubre definen el flujo vigente. [1] [2] [3]</w:t>
      </w:r>
    </w:p>
    <w:p>
      <w:r>
        <w:t>La pauta solicita evidencias en Git. La preparación de este paquete local no acredita por sí sola su publicación ni la entrega al docente. La adaptación individual de los criterios de participación y trabajo en equipo requiere constancia docente.</w:t>
      </w:r>
    </w:p>
    <w:p>
      <w:pPr>
        <w:pStyle w:val="Heading1"/>
      </w:pPr>
      <w:r>
        <w:t>11 Fuentes y antecedentes</w:t>
      </w:r>
    </w:p>
    <w:p>
      <w:pPr>
        <w:keepNext/>
        <w:keepLines/>
      </w:pPr>
      <w:r>
        <w:t>Las citas numéricas del texto remiten a las referencias siguientes. Los antecedentes se conservan en ANEXOS/FUENTES con su estructura y autoría originales; los enlaces abren esas copias. Las fechas de los ensayos corresponden a las ejecuciones guardadas. La revisión documental no incorpora nuevas pruebas de la aplicación. Cuando la fuente no declara una fecha editorial se indica s. f.</w:t>
      </w:r>
    </w:p>
    <w:p>
      <w:pPr>
        <w:keepLines/>
        <w:spacing w:after="120"/>
      </w:pPr>
      <w:r>
        <w:t xml:space="preserve">[1] Duoc UC. (s. f.). Guía del estudiante: Fase 2, Desarrollo del Proyecto APT [Guía académica institucional]. </w:t>
      </w:r>
      <w:hyperlink r:id="rId9">
        <w:r>
          <w:rPr>
            <w:color w:val="24445F"/>
          </w:rPr>
          <w:t>2.4_​GuiaEstudiante_​Fase 2_​DesarrolloProyecto APT.docx</w:t>
        </w:r>
      </w:hyperlink>
    </w:p>
    <w:p>
      <w:pPr>
        <w:keepLines/>
        <w:spacing w:after="120"/>
      </w:pPr>
      <w:r>
        <w:t xml:space="preserve">[2] Duoc UC. (s. f.). Evaluación Fase 2: Informe de avance del Proyecto APT [Pauta académica institucional]. </w:t>
      </w:r>
      <w:hyperlink r:id="rId10">
        <w:r>
          <w:rPr>
            <w:color w:val="24445F"/>
          </w:rPr>
          <w:t>2.5_​APT122_​Sumativa Avance Fase2.pdf</w:t>
        </w:r>
      </w:hyperlink>
    </w:p>
    <w:p>
      <w:pPr>
        <w:keepLines/>
        <w:spacing w:after="120"/>
      </w:pPr>
      <w:r>
        <w:t xml:space="preserve">[3] Duoc UC. (s. f.). Guía del estudiante: Fase 2, Informe final del Proyecto APT [Guía académica institucional]. </w:t>
      </w:r>
      <w:hyperlink r:id="rId11">
        <w:r>
          <w:rPr>
            <w:color w:val="24445F"/>
          </w:rPr>
          <w:t>2.6_​GuiaEstudiante_​Fase 2_​Informe Final Proyecto APT.docx</w:t>
        </w:r>
      </w:hyperlink>
    </w:p>
    <w:p>
      <w:pPr>
        <w:keepLines/>
        <w:spacing w:after="120"/>
      </w:pPr>
      <w:r>
        <w:t xml:space="preserve">[4] Moya, Dante y Larraguibel, Yarek. (2026). Acta de constitución del proyecto AFRISAN, versión corregida [Documento grupal histórico]. </w:t>
      </w:r>
      <w:hyperlink r:id="rId12">
        <w:r>
          <w:rPr>
            <w:color w:val="24445F"/>
          </w:rPr>
          <w:t>EVIDENCIAS_​GRUPALES/​Documentación del Proyecto/​ACTUAL/​00_​Acta_​de_​Constitucion_​AFRISAN_​Corregida.docx</w:t>
        </w:r>
      </w:hyperlink>
    </w:p>
    <w:p>
      <w:pPr>
        <w:keepLines/>
        <w:spacing w:after="120"/>
      </w:pPr>
      <w:r>
        <w:t xml:space="preserve">[5] Moya, Dante. (2026). Retiro por el técnico, cambio y revisión posterior [Definición de negocio registrada en el proyecto]. </w:t>
      </w:r>
      <w:hyperlink r:id="rId13">
        <w:r>
          <w:rPr>
            <w:color w:val="24445F"/>
          </w:rPr>
          <w:t>AFRISAN_​NUEVO/​01_​NEGOCIO/​12_​FLUJO_​TERRENO_​DESPACHO_​Y_​REVISION.md</w:t>
        </w:r>
      </w:hyperlink>
    </w:p>
    <w:p>
      <w:pPr>
        <w:keepLines/>
        <w:spacing w:after="120"/>
      </w:pPr>
      <w:r>
        <w:t xml:space="preserve">[6] Moya, Dante. (2026). Módulo de gráficos con Power BI [Definición de negocio registrada en el proyecto]. </w:t>
      </w:r>
      <w:hyperlink r:id="rId14">
        <w:r>
          <w:rPr>
            <w:color w:val="24445F"/>
          </w:rPr>
          <w:t>AFRISAN_​NUEVO/​01_​NEGOCIO/​11_​MODULO_​POWER_​BI.md</w:t>
        </w:r>
      </w:hyperlink>
    </w:p>
    <w:p>
      <w:pPr>
        <w:keepLines/>
        <w:spacing w:after="120"/>
      </w:pPr>
      <w:r>
        <w:t xml:space="preserve">[7] Proyecto AFRISAN. (2026). Flujo de terreno corregido según Dante [Registro de validación técnica]. </w:t>
      </w:r>
      <w:hyperlink r:id="rId15">
        <w:r>
          <w:rPr>
            <w:color w:val="24445F"/>
          </w:rPr>
          <w:t>AFRISAN_​NUEVO/​04_​SEGUIMIENTO/​FLUJO_​TERRENO_​2026_​10_​25/​README.md</w:t>
        </w:r>
      </w:hyperlink>
    </w:p>
    <w:p>
      <w:pPr>
        <w:keepLines/>
        <w:spacing w:after="120"/>
      </w:pPr>
      <w:r>
        <w:t xml:space="preserve">[8] Proyecto AFRISAN. (2026). Resultados de la validación de tres recorridos de terreno, ejecución 20261025-212141-bb482c [Registro de validación técnica]. </w:t>
      </w:r>
      <w:hyperlink r:id="rId16">
        <w:r>
          <w:rPr>
            <w:color w:val="24445F"/>
          </w:rPr>
          <w:t>AFRISAN_​NUEVO/​04_​SEGUIMIENTO/​FLUJO_​TERRENO_​2026_​10_​25/​ejecuciones/​20261025-212141-bb482c/​resultados.json</w:t>
        </w:r>
      </w:hyperlink>
    </w:p>
    <w:p>
      <w:pPr>
        <w:keepLines/>
        <w:spacing w:after="120"/>
      </w:pPr>
      <w:r>
        <w:t xml:space="preserve">[9] Proyecto AFRISAN. (2026). Resultados del recorrido de la OT-000004 mediante navegador [Registro de validación técnica]. </w:t>
      </w:r>
      <w:hyperlink r:id="rId17">
        <w:r>
          <w:rPr>
            <w:color w:val="24445F"/>
          </w:rPr>
          <w:t>AFRISAN_​NUEVO/​04_​SEGUIMIENTO/​FLUJO_​TERRENO_​2026_​10_​25/​resultado_​recorrido_​navegador.json</w:t>
        </w:r>
      </w:hyperlink>
    </w:p>
    <w:p>
      <w:pPr>
        <w:keepLines/>
        <w:spacing w:after="120"/>
      </w:pPr>
      <w:r>
        <w:t xml:space="preserve">[10] Proyecto AFRISAN. (2026). Validación del SQL del contexto actual [Registro de validación técnica]. </w:t>
      </w:r>
      <w:hyperlink r:id="rId18">
        <w:r>
          <w:rPr>
            <w:color w:val="24445F"/>
          </w:rPr>
          <w:t>AFRISAN_​NUEVO/​04_​SEGUIMIENTO/​VALIDACION_​SQL_​CONTEXTO_​2026_​10_​25/​README.md</w:t>
        </w:r>
      </w:hyperlink>
    </w:p>
    <w:p>
      <w:pPr>
        <w:keepLines/>
        <w:spacing w:after="120"/>
      </w:pPr>
      <w:r>
        <w:t xml:space="preserve">[11] Proyecto AFRISAN. (2026). Resultados de la validación local del SQL del contexto actual [Registro de validación técnica]. </w:t>
      </w:r>
      <w:hyperlink r:id="rId19">
        <w:r>
          <w:rPr>
            <w:color w:val="24445F"/>
          </w:rPr>
          <w:t>AFRISAN_​NUEVO/​04_​SEGUIMIENTO/​VALIDACION_​SQL_​CONTEXTO_​2026_​10_​25/​resultados.json</w:t>
        </w:r>
      </w:hyperlink>
    </w:p>
    <w:p>
      <w:pPr>
        <w:keepLines/>
        <w:spacing w:after="120"/>
      </w:pPr>
      <w:r>
        <w:t xml:space="preserve">[12] Proyecto AFRISAN. (2026). Instalación del esquema del contexto actual de AFRISAN [Script SQL del proyecto]. </w:t>
      </w:r>
      <w:hyperlink r:id="rId20">
        <w:r>
          <w:rPr>
            <w:color w:val="24445F"/>
          </w:rPr>
          <w:t>AFRISAN_​NUEVO/​02_​BASE_​DATOS/​04_​Crear_​Afrisan_​Contexto_​Actual.sql</w:t>
        </w:r>
      </w:hyperlink>
    </w:p>
    <w:p>
      <w:pPr>
        <w:keepLines/>
        <w:spacing w:after="120"/>
      </w:pPr>
      <w:r>
        <w:t xml:space="preserve">[13] Proyecto AFRISAN. (2026). AFRISAN nuevo: primera entrega de inventario [Documentación técnica del proyecto]. </w:t>
      </w:r>
      <w:hyperlink r:id="rId21">
        <w:r>
          <w:rPr>
            <w:color w:val="24445F"/>
          </w:rPr>
          <w:t>AFRISAN_​NUEVO/​03_​CODIGO/​README.md</w:t>
        </w:r>
      </w:hyperlink>
    </w:p>
    <w:p>
      <w:pPr>
        <w:keepLines/>
        <w:spacing w:after="120"/>
      </w:pPr>
      <w:r>
        <w:t xml:space="preserve">[14] Proyecto AFRISAN. (s. f.). AFRISAN-APT: índice y orientación del repositorio [Índice documental del proyecto]. </w:t>
      </w:r>
      <w:hyperlink r:id="rId22">
        <w:r>
          <w:rPr>
            <w:color w:val="24445F"/>
          </w:rPr>
          <w:t>README.md</w:t>
        </w:r>
      </w:hyperlink>
    </w:p>
    <w:p>
      <w:pPr>
        <w:keepLines/>
        <w:spacing w:after="120"/>
      </w:pPr>
      <w:r>
        <w:t xml:space="preserve">[15] Duoc UC (guía); Carolina Ávila, Dante Moya y Yarek Larraguibel (contenido completado). (s. f.). Guía del estudiante: Fase 1, Definición del Proyecto APT, completada para AFRISAN [Guía académica con contenido del equipo histórico]. </w:t>
      </w:r>
      <w:hyperlink r:id="rId23">
        <w:r>
          <w:rPr>
            <w:color w:val="24445F"/>
          </w:rPr>
          <w:t>EVIDENCIAS_​GRUPALES/​1.5_​GuiaEstudiante_​Fase 1_​Definicion Proyecto APT (1).docx</w:t>
        </w:r>
      </w:hyperlink>
    </w:p>
    <w:p>
      <w:pPr>
        <w:keepLines/>
        <w:spacing w:after="120"/>
      </w:pPr>
      <w:r>
        <w:t xml:space="preserve">[16] Moya, Dante. (2026). Plan de trabajo de ocho columnas para Fase 2, actualizado al 22 de octubre de 2026 [Plan de trabajo individual]. </w:t>
      </w:r>
      <w:hyperlink r:id="rId24">
        <w:r>
          <w:rPr>
            <w:color w:val="24445F"/>
          </w:rPr>
          <w:t>EVIDENCIAS_​GRUPALES/​EVA_​2/​01_​PLAN_​DE_​TRABAJO_​8_​COLUMNAS_​FASE_​2.md</w:t>
        </w:r>
      </w:hyperlink>
    </w:p>
    <w:p>
      <w:pPr>
        <w:keepLines/>
        <w:spacing w:after="120"/>
      </w:pPr>
      <w:r>
        <w:t xml:space="preserve">[17] Duoc UC. (s. f.). Evaluación Fase 1: Formativa de definición del Proyecto APT [Pauta académica institucional]. </w:t>
      </w:r>
      <w:hyperlink r:id="rId25">
        <w:r>
          <w:rPr>
            <w:color w:val="24445F"/>
          </w:rPr>
          <w:t>EVIDENCIAS_​GRUPALES/​1.4_​APT122_​FormativaFase1.docx</w:t>
        </w:r>
      </w:hyperlink>
    </w:p>
    <w:p>
      <w:pPr>
        <w:keepLines/>
        <w:spacing w:after="120"/>
      </w:pPr>
      <w:r>
        <w:t xml:space="preserve">[18] Proyecto AFRISAN. (s. f.). Servicio de trabajo local de la aplicación web [Archivo de código fuente]. </w:t>
      </w:r>
      <w:hyperlink r:id="rId26">
        <w:r>
          <w:rPr>
            <w:color w:val="24445F"/>
          </w:rPr>
          <w:t>AFRISAN_​NUEVO/​03_​CODIGO/​Afrisan.Nuevo.Web/​Services/​TrabajoLocalService.cs</w:t>
        </w:r>
      </w:hyperlink>
    </w:p>
    <w:sectPr w:rsidR="00FC693F" w:rsidRPr="0006063C" w:rsidSect="00034616">
      <w:footerReference w:type="default" r:id="rId27"/>
      <w:pgSz w:w="11906" w:h="16838"/>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AFRISAN DM · Página </w:t>
    </w:r>
    <w:fldSimple w:instr="PAGE"/>
    <w:r>
      <w:rPr>
        <w:sz w:val="18"/>
      </w:rPr>
      <w:t xml:space="preserve"> de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ANEXOS/FUENTES/2.4_GuiaEstudiante_Fase%202_DesarrolloProyecto%20APT.docx" TargetMode="External"/><Relationship Id="rId10" Type="http://schemas.openxmlformats.org/officeDocument/2006/relationships/hyperlink" Target="../ANEXOS/FUENTES/2.5_APT122_Sumativa%20Avance%20Fase2.pdf" TargetMode="External"/><Relationship Id="rId11" Type="http://schemas.openxmlformats.org/officeDocument/2006/relationships/hyperlink" Target="../ANEXOS/FUENTES/2.6_GuiaEstudiante_Fase%202_Informe%20Final%20Proyecto%20APT.docx" TargetMode="External"/><Relationship Id="rId12" Type="http://schemas.openxmlformats.org/officeDocument/2006/relationships/hyperlink" Target="../ANEXOS/FUENTES/EVIDENCIAS_GRUPALES/Documentaci%C3%B3n%20del%20Proyecto/ACTUAL/00_Acta_de_Constitucion_AFRISAN_Corregida.docx" TargetMode="External"/><Relationship Id="rId13" Type="http://schemas.openxmlformats.org/officeDocument/2006/relationships/hyperlink" Target="../ANEXOS/FUENTES/AFRISAN_NUEVO/01_NEGOCIO/12_FLUJO_TERRENO_DESPACHO_Y_REVISION.md" TargetMode="External"/><Relationship Id="rId14" Type="http://schemas.openxmlformats.org/officeDocument/2006/relationships/hyperlink" Target="../ANEXOS/FUENTES/AFRISAN_NUEVO/01_NEGOCIO/11_MODULO_POWER_BI.md" TargetMode="External"/><Relationship Id="rId15" Type="http://schemas.openxmlformats.org/officeDocument/2006/relationships/hyperlink" Target="../ANEXOS/FUENTES/AFRISAN_NUEVO/04_SEGUIMIENTO/FLUJO_TERRENO_2026_10_25/README.md" TargetMode="External"/><Relationship Id="rId16" Type="http://schemas.openxmlformats.org/officeDocument/2006/relationships/hyperlink" Target="../ANEXOS/FUENTES/AFRISAN_NUEVO/04_SEGUIMIENTO/FLUJO_TERRENO_2026_10_25/ejecuciones/20261025-212141-bb482c/resultados.json" TargetMode="External"/><Relationship Id="rId17" Type="http://schemas.openxmlformats.org/officeDocument/2006/relationships/hyperlink" Target="../ANEXOS/FUENTES/AFRISAN_NUEVO/04_SEGUIMIENTO/FLUJO_TERRENO_2026_10_25/resultado_recorrido_navegador.json" TargetMode="External"/><Relationship Id="rId18" Type="http://schemas.openxmlformats.org/officeDocument/2006/relationships/hyperlink" Target="../ANEXOS/FUENTES/AFRISAN_NUEVO/04_SEGUIMIENTO/VALIDACION_SQL_CONTEXTO_2026_10_25/README.md" TargetMode="External"/><Relationship Id="rId19" Type="http://schemas.openxmlformats.org/officeDocument/2006/relationships/hyperlink" Target="../ANEXOS/FUENTES/AFRISAN_NUEVO/04_SEGUIMIENTO/VALIDACION_SQL_CONTEXTO_2026_10_25/resultados.json" TargetMode="External"/><Relationship Id="rId20" Type="http://schemas.openxmlformats.org/officeDocument/2006/relationships/hyperlink" Target="../ANEXOS/FUENTES/AFRISAN_NUEVO/02_BASE_DATOS/04_Crear_Afrisan_Contexto_Actual.sql" TargetMode="External"/><Relationship Id="rId21" Type="http://schemas.openxmlformats.org/officeDocument/2006/relationships/hyperlink" Target="../ANEXOS/FUENTES/AFRISAN_NUEVO/03_CODIGO/README.md" TargetMode="External"/><Relationship Id="rId22" Type="http://schemas.openxmlformats.org/officeDocument/2006/relationships/hyperlink" Target="../ANEXOS/FUENTES/README.md" TargetMode="External"/><Relationship Id="rId23" Type="http://schemas.openxmlformats.org/officeDocument/2006/relationships/hyperlink" Target="../ANEXOS/FUENTES/EVIDENCIAS_GRUPALES/1.5_GuiaEstudiante_Fase%201_Definicion%20Proyecto%20APT%20%281%29.docx" TargetMode="External"/><Relationship Id="rId24" Type="http://schemas.openxmlformats.org/officeDocument/2006/relationships/hyperlink" Target="../ANEXOS/FUENTES/EVIDENCIAS_GRUPALES/EVA_2/01_PLAN_DE_TRABAJO_8_COLUMNAS_FASE_2.md" TargetMode="External"/><Relationship Id="rId25" Type="http://schemas.openxmlformats.org/officeDocument/2006/relationships/hyperlink" Target="../ANEXOS/FUENTES/EVIDENCIAS_GRUPALES/1.4_APT122_FormativaFase1.docx" TargetMode="External"/><Relationship Id="rId26" Type="http://schemas.openxmlformats.org/officeDocument/2006/relationships/hyperlink" Target="../ANEXOS/FUENTES/AFRISAN_NUEVO/03_CODIGO/Afrisan.Nuevo.Web/Services/TrabajoLocalService.cs"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avance del nuevo AFRISAN</dc:title>
  <dc:subject>Nuevo AFRISAN · Documentación APT en español · Revisión 29/10/2026</dc:subject>
  <dc:creator>Dante Moya</dc:creator>
  <cp:keywords/>
  <dc:description>Actualización documental con conservación de antecedentes y autoría histórica.</dc:description>
  <cp:lastModifiedBy/>
  <cp:revision>1</cp:revision>
  <dcterms:created xsi:type="dcterms:W3CDTF">2013-12-23T23:15:00Z</dcterms:created>
  <dcterms:modified xsi:type="dcterms:W3CDTF">2013-12-23T23:15:00Z</dcterms:modified>
  <cp:category/>
  <dc:language>es-CL</dc:language>
</cp:coreProperties>
</file>