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Monitoreo del plan de trabajo de AFRISAN</w:t>
      </w:r>
    </w:p>
    <w:p>
      <w:pPr>
        <w:pStyle w:val="Subtitle"/>
      </w:pPr>
      <w:r>
        <w:t>Fase 2 · Seguimiento individual de Dante Moya · 29 de octubre de 2026</w:t>
      </w:r>
    </w:p>
    <w:p>
      <w:r>
        <w:t>Responsable actual Dante Moya · Versión documental en español del 29 de octubre de 2026</w:t>
      </w:r>
    </w:p>
    <w:p>
      <w:pPr>
        <w:pStyle w:val="Heading1"/>
      </w:pPr>
      <w:r>
        <w:t>1 Resultado del monitoreo</w:t>
      </w:r>
    </w:p>
    <w:p>
      <w:r>
        <w:t>El flujo de revisión se encuentra implementado y ensayado con datos sintéticos en el proveedor temporal en memoria. El esquema de datos actualizado dispone de validación local separada. La persistencia de la aplicación, identidades reales, almacenamiento durable de fotografías, Power BI y aceptación de usuarios continúan pendientes. El plan debe seguir estas dependencias y conservar evidencia por actividad, en lugar de deducir un porcentaje de avance a partir de pantallas o archivos. [4] [5]</w:t>
      </w:r>
    </w:p>
    <w:p>
      <w:r>
        <w:t>La disponibilidad informada es de tres horas diarias. El incremento futuro G01 a G09 comprende 22 sesiones de tres horas, equivalentes a 66 horas estimadas. Las sesiones no son necesariamente días consecutivos y no incluyen espera de respuestas, defectos nuevos ni ampliaciones de alcance. H-SQL y H-LOCAL conservan duraciones históricas de referencia, separadas de estas 66 horas y de las horas efectivamente trabajadas, que no se encuentran registradas. No se marca Con retraso sin una fecha base confirmada que permita demostrar el retraso.</w:t>
      </w:r>
    </w:p>
    <w:p>
      <w:pPr>
        <w:pStyle w:val="Heading1"/>
      </w:pPr>
      <w:r>
        <w:t>2 Reglas para mantener el plan de ocho columnas</w:t>
      </w:r>
    </w:p>
    <w:p>
      <w:r>
        <w:t>El archivo de planificación de Fase 2 conserva las columnas solicitadas: Competencia o unidad de competencia, Actividades, Recursos, Duración, Responsable, Observaciones, Estado de avance y Ajustes. Dante Moya es el responsable actual de desarrollo, datos, documentación y pruebas. La contraparte valida negocio y el docente define la evaluación; esos roles no se convierten en integrantes de desarrollo. [1] [2]</w:t>
      </w:r>
    </w:p>
    <w:p>
      <w:r>
        <w:t>Los estados permitidos son En curso, Con retraso, No iniciado, Completado y Ajustada. En Observaciones se registra qué evidencia existe y su límite; en Ajustes se identifica una acción concreta y su dependencia. La duración distingue tiempo observado de estimación. Una actividad con implementación parcial se mantiene En curso aunque una de sus pruebas ya haya terminado.</w:t>
      </w:r>
    </w:p>
    <w:p>
      <w:r>
        <w:t>Los registros del paquete son FASE_1/03_Plan_de_Trabajo_e_Hitos_Afrisan_DM.xlsx (plan de siete columnas), FASE_1/04_Carta_Gantt_Afrisan_DM.xlsx (distribución académica y sesiones) y FASE_2/01_Plan_de_Trabajo_y_Backlog_Fase_2_Afrisan_DM.xlsx (seguimiento de ocho columnas). La evidencia y los pendientes se consolidan en FASE_2/05_Evidencias_y_Pendientes_Afrisan_DM.xlsx.</w:t>
      </w:r>
    </w:p>
    <w:p>
      <w:r>
        <w:t>La referencia de calendario informada por el estudiante el 28 de octubre de 2026 sitúa esa fecha en la semana 12 y establece semanas de jueves a miércoles. De ello se calcula la semana 1 desde el 6 de agosto, la semana 12 del 22 al 28 de octubre y la semana 18 del 3 al 9 de diciembre de 2026. La distribución de Fase 1 en S1-S6, Fase 2 en S7-S16 y Fase 3 en S17-S18 es una propuesta de organización; no acredita fechas oficiales de entrega o defensa. El cálculo supone semanas consecutivas, sin ajustes por recesos o recuperaciones.</w:t>
      </w:r>
    </w:p>
    <w:p>
      <w:pPr>
        <w:pStyle w:val="Heading1"/>
      </w:pPr>
      <w:r>
        <w:t>3 Facilitadores y dificultades</w:t>
      </w:r>
    </w:p>
    <w:p>
      <w:r>
        <w:t>Los antecedentes y criterios de esta tabla se apoyan en las fuentes [2], [3], [9]. La asignación y el estado de la versión actual corresponden al corte documental del 28 de octubre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gridCol w:w="4819"/>
      </w:tblGrid>
      <w:tr>
        <w:trPr>
          <w:tblHeader/>
        </w:trPr>
        <w:tc>
          <w:tcPr>
            <w:tcW w:type="dxa" w:w="4059"/>
            <w:vAlign w:val="center"/>
            <w:tcMar>
              <w:top w:w="85" w:type="dxa"/>
              <w:left w:w="85" w:type="dxa"/>
              <w:bottom w:w="85" w:type="dxa"/>
              <w:right w:w="85" w:type="dxa"/>
            </w:tcMar>
            <w:shd w:fill="24445F"/>
          </w:tcPr>
          <w:p>
            <w:pPr>
              <w:keepNext/>
              <w:spacing w:before="40" w:after="60" w:line="240" w:lineRule="auto"/>
            </w:pPr>
            <w:r>
              <w:rPr>
                <w:b/>
                <w:color w:val="FFFFFF"/>
                <w:sz w:val="22"/>
              </w:rPr>
              <w:t>Factor</w:t>
            </w:r>
          </w:p>
        </w:tc>
        <w:tc>
          <w:tcPr>
            <w:tcW w:type="dxa" w:w="5199"/>
            <w:vAlign w:val="center"/>
            <w:tcMar>
              <w:top w:w="85" w:type="dxa"/>
              <w:left w:w="85" w:type="dxa"/>
              <w:bottom w:w="85" w:type="dxa"/>
              <w:right w:w="85" w:type="dxa"/>
            </w:tcMar>
            <w:shd w:fill="24445F"/>
          </w:tcPr>
          <w:p>
            <w:pPr>
              <w:keepNext/>
              <w:spacing w:before="40" w:after="60" w:line="240" w:lineRule="auto"/>
            </w:pPr>
            <w:r>
              <w:rPr>
                <w:b/>
                <w:color w:val="FFFFFF"/>
                <w:sz w:val="22"/>
              </w:rPr>
              <w:t>Efecto sobre el trabajo</w:t>
            </w:r>
          </w:p>
        </w:tc>
        <w:tc>
          <w:tcPr>
            <w:tcW w:type="dxa" w:w="5199"/>
            <w:vAlign w:val="center"/>
            <w:tcMar>
              <w:top w:w="85" w:type="dxa"/>
              <w:left w:w="85" w:type="dxa"/>
              <w:bottom w:w="85" w:type="dxa"/>
              <w:right w:w="85" w:type="dxa"/>
            </w:tcMar>
            <w:shd w:fill="24445F"/>
          </w:tcPr>
          <w:p>
            <w:pPr>
              <w:keepNext/>
              <w:spacing w:before="40" w:after="60" w:line="240" w:lineRule="auto"/>
            </w:pPr>
            <w:r>
              <w:rPr>
                <w:b/>
                <w:color w:val="FFFFFF"/>
                <w:sz w:val="22"/>
              </w:rPr>
              <w:t>Tratamiento</w:t>
            </w:r>
          </w:p>
        </w:tc>
      </w:tr>
      <w:tr>
        <w:trPr>
          <w:cantSplit/>
        </w:trPr>
        <w:tc>
          <w:tcPr>
            <w:tcW w:type="dxa" w:w="4059"/>
            <w:vAlign w:val="center"/>
            <w:tcMar>
              <w:top w:w="85" w:type="dxa"/>
              <w:left w:w="85" w:type="dxa"/>
              <w:bottom w:w="85" w:type="dxa"/>
              <w:right w:w="85" w:type="dxa"/>
            </w:tcMar>
          </w:tcPr>
          <w:p>
            <w:pPr>
              <w:spacing w:before="40" w:after="60" w:line="240" w:lineRule="auto"/>
            </w:pPr>
            <w:r>
              <w:rPr>
                <w:b w:val="0"/>
                <w:color w:val="000000"/>
                <w:sz w:val="22"/>
              </w:rPr>
              <w:t>Flujo aclarado por Dante el 25 de octubre</w:t>
            </w:r>
          </w:p>
        </w:tc>
        <w:tc>
          <w:tcPr>
            <w:tcW w:type="dxa" w:w="5199"/>
            <w:vAlign w:val="center"/>
            <w:tcMar>
              <w:top w:w="85" w:type="dxa"/>
              <w:left w:w="85" w:type="dxa"/>
              <w:bottom w:w="85" w:type="dxa"/>
              <w:right w:w="85" w:type="dxa"/>
            </w:tcMar>
          </w:tcPr>
          <w:p>
            <w:pPr>
              <w:spacing w:before="40" w:after="60" w:line="240" w:lineRule="auto"/>
            </w:pPr>
            <w:r>
              <w:rPr>
                <w:b w:val="0"/>
                <w:color w:val="000000"/>
                <w:sz w:val="22"/>
              </w:rPr>
              <w:t>Define quién retira y en qué orden se revisa</w:t>
            </w:r>
          </w:p>
        </w:tc>
        <w:tc>
          <w:tcPr>
            <w:tcW w:type="dxa" w:w="5199"/>
            <w:vAlign w:val="center"/>
            <w:tcMar>
              <w:top w:w="85" w:type="dxa"/>
              <w:left w:w="85" w:type="dxa"/>
              <w:bottom w:w="85" w:type="dxa"/>
              <w:right w:w="85" w:type="dxa"/>
            </w:tcMar>
          </w:tcPr>
          <w:p>
            <w:pPr>
              <w:spacing w:before="40" w:after="60" w:line="240" w:lineRule="auto"/>
            </w:pPr>
            <w:r>
              <w:rPr>
                <w:b w:val="0"/>
                <w:color w:val="000000"/>
                <w:sz w:val="22"/>
              </w:rPr>
              <w:t>Usar la secuencia vigente en informes, lista de trabajo, datos y pruebas</w:t>
            </w:r>
          </w:p>
        </w:tc>
      </w:tr>
      <w:tr>
        <w:trPr>
          <w:cantSplit/>
        </w:trPr>
        <w:tc>
          <w:tcPr>
            <w:tcW w:type="dxa" w:w="4059"/>
            <w:vAlign w:val="center"/>
            <w:tcMar>
              <w:top w:w="85" w:type="dxa"/>
              <w:left w:w="85" w:type="dxa"/>
              <w:bottom w:w="85" w:type="dxa"/>
              <w:right w:w="85" w:type="dxa"/>
            </w:tcMar>
            <w:shd w:fill="F1F5F8"/>
          </w:tcPr>
          <w:p>
            <w:pPr>
              <w:spacing w:before="40" w:after="60" w:line="240" w:lineRule="auto"/>
            </w:pPr>
            <w:r>
              <w:rPr>
                <w:b w:val="0"/>
                <w:color w:val="000000"/>
                <w:sz w:val="22"/>
              </w:rPr>
              <w:t>Guiones y resultados conservados</w:t>
            </w:r>
          </w:p>
        </w:tc>
        <w:tc>
          <w:tcPr>
            <w:tcW w:type="dxa" w:w="5199"/>
            <w:vAlign w:val="center"/>
            <w:tcMar>
              <w:top w:w="85" w:type="dxa"/>
              <w:left w:w="85" w:type="dxa"/>
              <w:bottom w:w="85" w:type="dxa"/>
              <w:right w:w="85" w:type="dxa"/>
            </w:tcMar>
            <w:shd w:fill="F1F5F8"/>
          </w:tcPr>
          <w:p>
            <w:pPr>
              <w:spacing w:before="40" w:after="60" w:line="240" w:lineRule="auto"/>
            </w:pPr>
            <w:r>
              <w:rPr>
                <w:b w:val="0"/>
                <w:color w:val="000000"/>
                <w:sz w:val="22"/>
              </w:rPr>
              <w:t>Permiten repetir casos y localizar regresiones</w:t>
            </w:r>
          </w:p>
        </w:tc>
        <w:tc>
          <w:tcPr>
            <w:tcW w:type="dxa" w:w="5199"/>
            <w:vAlign w:val="center"/>
            <w:tcMar>
              <w:top w:w="85" w:type="dxa"/>
              <w:left w:w="85" w:type="dxa"/>
              <w:bottom w:w="85" w:type="dxa"/>
              <w:right w:w="85" w:type="dxa"/>
            </w:tcMar>
            <w:shd w:fill="F1F5F8"/>
          </w:tcPr>
          <w:p>
            <w:pPr>
              <w:spacing w:before="40" w:after="60" w:line="240" w:lineRule="auto"/>
            </w:pPr>
            <w:r>
              <w:rPr>
                <w:b w:val="0"/>
                <w:color w:val="000000"/>
                <w:sz w:val="22"/>
              </w:rPr>
              <w:t>Preservar fecha, contexto, resultado y alcance de cada ejecución</w:t>
            </w:r>
          </w:p>
        </w:tc>
      </w:tr>
      <w:tr>
        <w:trPr>
          <w:cantSplit/>
        </w:trPr>
        <w:tc>
          <w:tcPr>
            <w:tcW w:type="dxa" w:w="4059"/>
            <w:vAlign w:val="center"/>
            <w:tcMar>
              <w:top w:w="85" w:type="dxa"/>
              <w:left w:w="85" w:type="dxa"/>
              <w:bottom w:w="85" w:type="dxa"/>
              <w:right w:w="85" w:type="dxa"/>
            </w:tcMar>
          </w:tcPr>
          <w:p>
            <w:pPr>
              <w:spacing w:before="40" w:after="60" w:line="240" w:lineRule="auto"/>
            </w:pPr>
            <w:r>
              <w:rPr>
                <w:b w:val="0"/>
                <w:color w:val="000000"/>
                <w:sz w:val="22"/>
              </w:rPr>
              <w:t>Solución nueva separada</w:t>
            </w:r>
          </w:p>
        </w:tc>
        <w:tc>
          <w:tcPr>
            <w:tcW w:type="dxa" w:w="5199"/>
            <w:vAlign w:val="center"/>
            <w:tcMar>
              <w:top w:w="85" w:type="dxa"/>
              <w:left w:w="85" w:type="dxa"/>
              <w:bottom w:w="85" w:type="dxa"/>
              <w:right w:w="85" w:type="dxa"/>
            </w:tcMar>
          </w:tcPr>
          <w:p>
            <w:pPr>
              <w:spacing w:before="40" w:after="60" w:line="240" w:lineRule="auto"/>
            </w:pPr>
            <w:r>
              <w:rPr>
                <w:b w:val="0"/>
                <w:color w:val="000000"/>
                <w:sz w:val="22"/>
              </w:rPr>
              <w:t>Facilita revisar el código actual sin confundir proyectos anteriores</w:t>
            </w:r>
          </w:p>
        </w:tc>
        <w:tc>
          <w:tcPr>
            <w:tcW w:type="dxa" w:w="5199"/>
            <w:vAlign w:val="center"/>
            <w:tcMar>
              <w:top w:w="85" w:type="dxa"/>
              <w:left w:w="85" w:type="dxa"/>
              <w:bottom w:w="85" w:type="dxa"/>
              <w:right w:w="85" w:type="dxa"/>
            </w:tcMar>
          </w:tcPr>
          <w:p>
            <w:pPr>
              <w:spacing w:before="40" w:after="60" w:line="240" w:lineRule="auto"/>
            </w:pPr>
            <w:r>
              <w:rPr>
                <w:b w:val="0"/>
                <w:color w:val="000000"/>
                <w:sz w:val="22"/>
              </w:rPr>
              <w:t>Referenciar Afrisan.Nuevo.slnx y conservar antecedentes</w:t>
            </w:r>
          </w:p>
        </w:tc>
      </w:tr>
      <w:tr>
        <w:trPr>
          <w:cantSplit/>
        </w:trPr>
        <w:tc>
          <w:tcPr>
            <w:tcW w:type="dxa" w:w="4059"/>
            <w:vAlign w:val="center"/>
            <w:tcMar>
              <w:top w:w="85" w:type="dxa"/>
              <w:left w:w="85" w:type="dxa"/>
              <w:bottom w:w="85" w:type="dxa"/>
              <w:right w:w="85" w:type="dxa"/>
            </w:tcMar>
            <w:shd w:fill="F1F5F8"/>
          </w:tcPr>
          <w:p>
            <w:pPr>
              <w:spacing w:before="40" w:after="60" w:line="240" w:lineRule="auto"/>
            </w:pPr>
            <w:r>
              <w:rPr>
                <w:b w:val="0"/>
                <w:color w:val="000000"/>
                <w:sz w:val="22"/>
              </w:rPr>
              <w:t>Cambio de recarga a reemplazo físico</w:t>
            </w:r>
          </w:p>
        </w:tc>
        <w:tc>
          <w:tcPr>
            <w:tcW w:type="dxa" w:w="5199"/>
            <w:vAlign w:val="center"/>
            <w:tcMar>
              <w:top w:w="85" w:type="dxa"/>
              <w:left w:w="85" w:type="dxa"/>
              <w:bottom w:w="85" w:type="dxa"/>
              <w:right w:w="85" w:type="dxa"/>
            </w:tcMar>
            <w:shd w:fill="F1F5F8"/>
          </w:tcPr>
          <w:p>
            <w:pPr>
              <w:spacing w:before="40" w:after="60" w:line="240" w:lineRule="auto"/>
            </w:pPr>
            <w:r>
              <w:rPr>
                <w:b w:val="0"/>
                <w:color w:val="000000"/>
                <w:sz w:val="22"/>
              </w:rPr>
              <w:t>Vuelve incompatibles algunos criterios antiguos de retorno y emisiones</w:t>
            </w:r>
          </w:p>
        </w:tc>
        <w:tc>
          <w:tcPr>
            <w:tcW w:type="dxa" w:w="5199"/>
            <w:vAlign w:val="center"/>
            <w:tcMar>
              <w:top w:w="85" w:type="dxa"/>
              <w:left w:w="85" w:type="dxa"/>
              <w:bottom w:w="85" w:type="dxa"/>
              <w:right w:w="85" w:type="dxa"/>
            </w:tcMar>
            <w:shd w:fill="F1F5F8"/>
          </w:tcPr>
          <w:p>
            <w:pPr>
              <w:spacing w:before="40" w:after="60" w:line="240" w:lineRule="auto"/>
            </w:pPr>
            <w:r>
              <w:rPr>
                <w:b w:val="0"/>
                <w:color w:val="000000"/>
                <w:sz w:val="22"/>
              </w:rPr>
              <w:t>Revisar criterios por identidad del envase y distinguir magnitudes</w:t>
            </w:r>
          </w:p>
        </w:tc>
      </w:tr>
      <w:tr>
        <w:trPr>
          <w:cantSplit/>
        </w:trPr>
        <w:tc>
          <w:tcPr>
            <w:tcW w:type="dxa" w:w="4059"/>
            <w:vAlign w:val="center"/>
            <w:tcMar>
              <w:top w:w="85" w:type="dxa"/>
              <w:left w:w="85" w:type="dxa"/>
              <w:bottom w:w="85" w:type="dxa"/>
              <w:right w:w="85" w:type="dxa"/>
            </w:tcMar>
          </w:tcPr>
          <w:p>
            <w:pPr>
              <w:spacing w:before="40" w:after="60" w:line="240" w:lineRule="auto"/>
            </w:pPr>
            <w:r>
              <w:rPr>
                <w:b w:val="0"/>
                <w:color w:val="000000"/>
                <w:sz w:val="22"/>
              </w:rPr>
              <w:t>Continuidad individual</w:t>
            </w:r>
          </w:p>
        </w:tc>
        <w:tc>
          <w:tcPr>
            <w:tcW w:type="dxa" w:w="5199"/>
            <w:vAlign w:val="center"/>
            <w:tcMar>
              <w:top w:w="85" w:type="dxa"/>
              <w:left w:w="85" w:type="dxa"/>
              <w:bottom w:w="85" w:type="dxa"/>
              <w:right w:w="85" w:type="dxa"/>
            </w:tcMar>
          </w:tcPr>
          <w:p>
            <w:pPr>
              <w:spacing w:before="40" w:after="60" w:line="240" w:lineRule="auto"/>
            </w:pPr>
            <w:r>
              <w:rPr>
                <w:b w:val="0"/>
                <w:color w:val="000000"/>
                <w:sz w:val="22"/>
              </w:rPr>
              <w:t>Reduce capacidad de ejecución paralela y revisión independiente</w:t>
            </w:r>
          </w:p>
        </w:tc>
        <w:tc>
          <w:tcPr>
            <w:tcW w:type="dxa" w:w="5199"/>
            <w:vAlign w:val="center"/>
            <w:tcMar>
              <w:top w:w="85" w:type="dxa"/>
              <w:left w:w="85" w:type="dxa"/>
              <w:bottom w:w="85" w:type="dxa"/>
              <w:right w:w="85" w:type="dxa"/>
            </w:tcMar>
          </w:tcPr>
          <w:p>
            <w:pPr>
              <w:spacing w:before="40" w:after="60" w:line="240" w:lineRule="auto"/>
            </w:pPr>
            <w:r>
              <w:rPr>
                <w:b w:val="0"/>
                <w:color w:val="000000"/>
                <w:sz w:val="22"/>
              </w:rPr>
              <w:t>Priorizar flujo completo, sesiones acotadas y revisión externa de negocio</w:t>
            </w:r>
          </w:p>
        </w:tc>
      </w:tr>
      <w:tr>
        <w:trPr>
          <w:cantSplit/>
        </w:trPr>
        <w:tc>
          <w:tcPr>
            <w:tcW w:type="dxa" w:w="4059"/>
            <w:vAlign w:val="center"/>
            <w:tcMar>
              <w:top w:w="85" w:type="dxa"/>
              <w:left w:w="85" w:type="dxa"/>
              <w:bottom w:w="85" w:type="dxa"/>
              <w:right w:w="85" w:type="dxa"/>
            </w:tcMar>
            <w:shd w:fill="F1F5F8"/>
          </w:tcPr>
          <w:p>
            <w:pPr>
              <w:spacing w:before="40" w:after="60" w:line="240" w:lineRule="auto"/>
            </w:pPr>
            <w:r>
              <w:rPr>
                <w:b w:val="0"/>
                <w:color w:val="000000"/>
                <w:sz w:val="22"/>
              </w:rPr>
              <w:t>API en memoria</w:t>
            </w:r>
          </w:p>
        </w:tc>
        <w:tc>
          <w:tcPr>
            <w:tcW w:type="dxa" w:w="5199"/>
            <w:vAlign w:val="center"/>
            <w:tcMar>
              <w:top w:w="85" w:type="dxa"/>
              <w:left w:w="85" w:type="dxa"/>
              <w:bottom w:w="85" w:type="dxa"/>
              <w:right w:w="85" w:type="dxa"/>
            </w:tcMar>
            <w:shd w:fill="F1F5F8"/>
          </w:tcPr>
          <w:p>
            <w:pPr>
              <w:spacing w:before="40" w:after="60" w:line="240" w:lineRule="auto"/>
            </w:pPr>
            <w:r>
              <w:rPr>
                <w:b w:val="0"/>
                <w:color w:val="000000"/>
                <w:sz w:val="22"/>
              </w:rPr>
              <w:t>Los datos y fotos centrales se pierden al reiniciar</w:t>
            </w:r>
          </w:p>
        </w:tc>
        <w:tc>
          <w:tcPr>
            <w:tcW w:type="dxa" w:w="5199"/>
            <w:vAlign w:val="center"/>
            <w:tcMar>
              <w:top w:w="85" w:type="dxa"/>
              <w:left w:w="85" w:type="dxa"/>
              <w:bottom w:w="85" w:type="dxa"/>
              <w:right w:w="85" w:type="dxa"/>
            </w:tcMar>
            <w:shd w:fill="F1F5F8"/>
          </w:tcPr>
          <w:p>
            <w:pPr>
              <w:spacing w:before="40" w:after="60" w:line="240" w:lineRule="auto"/>
            </w:pPr>
            <w:r>
              <w:rPr>
                <w:b w:val="0"/>
                <w:color w:val="000000"/>
                <w:sz w:val="22"/>
              </w:rPr>
              <w:t>Integrar persistencia y probar conservación antes de anunciar uso operativo</w:t>
            </w:r>
          </w:p>
        </w:tc>
      </w:tr>
      <w:tr>
        <w:trPr>
          <w:cantSplit/>
        </w:trPr>
        <w:tc>
          <w:tcPr>
            <w:tcW w:type="dxa" w:w="4059"/>
            <w:vAlign w:val="center"/>
            <w:tcMar>
              <w:top w:w="85" w:type="dxa"/>
              <w:left w:w="85" w:type="dxa"/>
              <w:bottom w:w="85" w:type="dxa"/>
              <w:right w:w="85" w:type="dxa"/>
            </w:tcMar>
          </w:tcPr>
          <w:p>
            <w:pPr>
              <w:keepNext/>
              <w:spacing w:before="40" w:after="60" w:line="240" w:lineRule="auto"/>
            </w:pPr>
            <w:r>
              <w:rPr>
                <w:b w:val="0"/>
                <w:color w:val="000000"/>
                <w:sz w:val="22"/>
              </w:rPr>
              <w:t>Definiciones pendientes</w:t>
            </w:r>
          </w:p>
        </w:tc>
        <w:tc>
          <w:tcPr>
            <w:tcW w:type="dxa" w:w="5199"/>
            <w:vAlign w:val="center"/>
            <w:tcMar>
              <w:top w:w="85" w:type="dxa"/>
              <w:left w:w="85" w:type="dxa"/>
              <w:bottom w:w="85" w:type="dxa"/>
              <w:right w:w="85" w:type="dxa"/>
            </w:tcMar>
          </w:tcPr>
          <w:p>
            <w:pPr>
              <w:keepNext/>
              <w:spacing w:before="40" w:after="60" w:line="240" w:lineRule="auto"/>
            </w:pPr>
            <w:r>
              <w:rPr>
                <w:b w:val="0"/>
                <w:color w:val="000000"/>
                <w:sz w:val="22"/>
              </w:rPr>
              <w:t>Impiden implementar límites o rectificaciones con reglas aceptadas</w:t>
            </w:r>
          </w:p>
        </w:tc>
        <w:tc>
          <w:tcPr>
            <w:tcW w:type="dxa" w:w="5199"/>
            <w:vAlign w:val="center"/>
            <w:tcMar>
              <w:top w:w="85" w:type="dxa"/>
              <w:left w:w="85" w:type="dxa"/>
              <w:bottom w:w="85" w:type="dxa"/>
              <w:right w:w="85" w:type="dxa"/>
            </w:tcMar>
          </w:tcPr>
          <w:p>
            <w:pPr>
              <w:keepNext/>
              <w:spacing w:before="40" w:after="60" w:line="240" w:lineRule="auto"/>
            </w:pPr>
            <w:r>
              <w:rPr>
                <w:b w:val="0"/>
                <w:color w:val="000000"/>
                <w:sz w:val="22"/>
              </w:rPr>
              <w:t>Registrar preguntas y resolverlas antes de cerrar criterios</w:t>
            </w:r>
          </w:p>
        </w:tc>
      </w:tr>
      <w:tr>
        <w:trPr>
          <w:cantSplit/>
        </w:trPr>
        <w:tc>
          <w:tcPr>
            <w:tcW w:type="dxa" w:w="4059"/>
            <w:vAlign w:val="center"/>
            <w:tcMar>
              <w:top w:w="85" w:type="dxa"/>
              <w:left w:w="85" w:type="dxa"/>
              <w:bottom w:w="85" w:type="dxa"/>
              <w:right w:w="85" w:type="dxa"/>
            </w:tcMar>
            <w:shd w:fill="F1F5F8"/>
          </w:tcPr>
          <w:p>
            <w:pPr>
              <w:spacing w:before="40" w:after="60" w:line="240" w:lineRule="auto"/>
            </w:pPr>
            <w:r>
              <w:rPr>
                <w:b w:val="0"/>
                <w:color w:val="000000"/>
                <w:sz w:val="22"/>
              </w:rPr>
              <w:t>Cuentas públicas de demostración</w:t>
            </w:r>
          </w:p>
        </w:tc>
        <w:tc>
          <w:tcPr>
            <w:tcW w:type="dxa" w:w="5199"/>
            <w:vAlign w:val="center"/>
            <w:tcMar>
              <w:top w:w="85" w:type="dxa"/>
              <w:left w:w="85" w:type="dxa"/>
              <w:bottom w:w="85" w:type="dxa"/>
              <w:right w:w="85" w:type="dxa"/>
            </w:tcMar>
            <w:shd w:fill="F1F5F8"/>
          </w:tcPr>
          <w:p>
            <w:pPr>
              <w:spacing w:before="40" w:after="60" w:line="240" w:lineRule="auto"/>
            </w:pPr>
            <w:r>
              <w:rPr>
                <w:b w:val="0"/>
                <w:color w:val="000000"/>
                <w:sz w:val="22"/>
              </w:rPr>
              <w:t>No acreditan control de identidad de usuarios de AFRISAN</w:t>
            </w:r>
          </w:p>
        </w:tc>
        <w:tc>
          <w:tcPr>
            <w:tcW w:type="dxa" w:w="5199"/>
            <w:vAlign w:val="center"/>
            <w:tcMar>
              <w:top w:w="85" w:type="dxa"/>
              <w:left w:w="85" w:type="dxa"/>
              <w:bottom w:w="85" w:type="dxa"/>
              <w:right w:w="85" w:type="dxa"/>
            </w:tcMar>
            <w:shd w:fill="F1F5F8"/>
          </w:tcPr>
          <w:p>
            <w:pPr>
              <w:spacing w:before="40" w:after="60" w:line="240" w:lineRule="auto"/>
            </w:pPr>
            <w:r>
              <w:rPr>
                <w:b w:val="0"/>
                <w:color w:val="000000"/>
                <w:sz w:val="22"/>
              </w:rPr>
              <w:t>Definir aprovisionamiento y repetir pruebas con identidades reales</w:t>
            </w:r>
          </w:p>
        </w:tc>
      </w:tr>
    </w:tbl>
    <w:p>
      <w:pPr>
        <w:spacing w:after="0"/>
      </w:pPr>
    </w:p>
    <w:p>
      <w:pPr>
        <w:pStyle w:val="Heading1"/>
      </w:pPr>
      <w:r>
        <w:t>4 Registro de ajustes</w:t>
      </w:r>
    </w:p>
    <w:p>
      <w:r>
        <w:t>Los antecedentes y criterios de esta tabla se apoyan en las fuentes [3], [4], [5]. La asignación y el estado de la versión actual corresponden al corte documental del 28 de octubre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gridCol w:w="4819"/>
      </w:tblGrid>
      <w:tr>
        <w:trPr>
          <w:tblHeader/>
        </w:trPr>
        <w:tc>
          <w:tcPr>
            <w:tcW w:type="dxa" w:w="3660"/>
            <w:vAlign w:val="center"/>
            <w:tcMar>
              <w:top w:w="85" w:type="dxa"/>
              <w:left w:w="85" w:type="dxa"/>
              <w:bottom w:w="85" w:type="dxa"/>
              <w:right w:w="85" w:type="dxa"/>
            </w:tcMar>
            <w:shd w:fill="24445F"/>
          </w:tcPr>
          <w:p>
            <w:pPr>
              <w:keepNext/>
              <w:spacing w:before="40" w:after="60" w:line="240" w:lineRule="auto"/>
            </w:pPr>
            <w:r>
              <w:rPr>
                <w:b/>
                <w:color w:val="FFFFFF"/>
                <w:sz w:val="22"/>
              </w:rPr>
              <w:t>Ajuste</w:t>
            </w:r>
          </w:p>
        </w:tc>
        <w:tc>
          <w:tcPr>
            <w:tcW w:type="dxa" w:w="5398"/>
            <w:vAlign w:val="center"/>
            <w:tcMar>
              <w:top w:w="85" w:type="dxa"/>
              <w:left w:w="85" w:type="dxa"/>
              <w:bottom w:w="85" w:type="dxa"/>
              <w:right w:w="85" w:type="dxa"/>
            </w:tcMar>
            <w:shd w:fill="24445F"/>
          </w:tcPr>
          <w:p>
            <w:pPr>
              <w:keepNext/>
              <w:spacing w:before="40" w:after="60" w:line="240" w:lineRule="auto"/>
            </w:pPr>
            <w:r>
              <w:rPr>
                <w:b/>
                <w:color w:val="FFFFFF"/>
                <w:sz w:val="22"/>
              </w:rPr>
              <w:t>Justificación</w:t>
            </w:r>
          </w:p>
        </w:tc>
        <w:tc>
          <w:tcPr>
            <w:tcW w:type="dxa" w:w="5398"/>
            <w:vAlign w:val="center"/>
            <w:tcMar>
              <w:top w:w="85" w:type="dxa"/>
              <w:left w:w="85" w:type="dxa"/>
              <w:bottom w:w="85" w:type="dxa"/>
              <w:right w:w="85" w:type="dxa"/>
            </w:tcMar>
            <w:shd w:fill="24445F"/>
          </w:tcPr>
          <w:p>
            <w:pPr>
              <w:keepNext/>
              <w:spacing w:before="40" w:after="60" w:line="240" w:lineRule="auto"/>
            </w:pPr>
            <w:r>
              <w:rPr>
                <w:b/>
                <w:color w:val="FFFFFF"/>
                <w:sz w:val="22"/>
              </w:rPr>
              <w:t>Efecto y evidencia</w:t>
            </w:r>
          </w:p>
        </w:tc>
      </w:tr>
      <w:tr>
        <w:trPr>
          <w:cantSplit/>
        </w:trPr>
        <w:tc>
          <w:tcPr>
            <w:tcW w:type="dxa" w:w="3660"/>
            <w:vAlign w:val="center"/>
            <w:tcMar>
              <w:top w:w="85" w:type="dxa"/>
              <w:left w:w="85" w:type="dxa"/>
              <w:bottom w:w="85" w:type="dxa"/>
              <w:right w:w="85" w:type="dxa"/>
            </w:tcMar>
          </w:tcPr>
          <w:p>
            <w:pPr>
              <w:spacing w:before="40" w:after="60" w:line="240" w:lineRule="auto"/>
            </w:pPr>
            <w:r>
              <w:rPr>
                <w:b w:val="0"/>
                <w:color w:val="000000"/>
                <w:sz w:val="22"/>
              </w:rPr>
              <w:t>Actualizar responsables a Dante</w:t>
            </w:r>
          </w:p>
        </w:tc>
        <w:tc>
          <w:tcPr>
            <w:tcW w:type="dxa" w:w="5398"/>
            <w:vAlign w:val="center"/>
            <w:tcMar>
              <w:top w:w="85" w:type="dxa"/>
              <w:left w:w="85" w:type="dxa"/>
              <w:bottom w:w="85" w:type="dxa"/>
              <w:right w:w="85" w:type="dxa"/>
            </w:tcMar>
          </w:tcPr>
          <w:p>
            <w:pPr>
              <w:spacing w:before="40" w:after="60" w:line="240" w:lineRule="auto"/>
            </w:pPr>
            <w:r>
              <w:rPr>
                <w:b w:val="0"/>
                <w:color w:val="000000"/>
                <w:sz w:val="22"/>
              </w:rPr>
              <w:t>Continuidad individual informada desde el 16 de octubre</w:t>
            </w:r>
          </w:p>
        </w:tc>
        <w:tc>
          <w:tcPr>
            <w:tcW w:type="dxa" w:w="5398"/>
            <w:vAlign w:val="center"/>
            <w:tcMar>
              <w:top w:w="85" w:type="dxa"/>
              <w:left w:w="85" w:type="dxa"/>
              <w:bottom w:w="85" w:type="dxa"/>
              <w:right w:w="85" w:type="dxa"/>
            </w:tcMar>
          </w:tcPr>
          <w:p>
            <w:pPr>
              <w:spacing w:before="40" w:after="60" w:line="240" w:lineRule="auto"/>
            </w:pPr>
            <w:r>
              <w:rPr>
                <w:b w:val="0"/>
                <w:color w:val="000000"/>
                <w:sz w:val="22"/>
              </w:rPr>
              <w:t>Plan actual sin aseguramiento de calidad ficticio; autoría histórica conservada</w:t>
            </w:r>
          </w:p>
        </w:tc>
      </w:tr>
      <w:tr>
        <w:trPr>
          <w:cantSplit/>
        </w:trPr>
        <w:tc>
          <w:tcPr>
            <w:tcW w:type="dxa" w:w="3660"/>
            <w:vAlign w:val="center"/>
            <w:tcMar>
              <w:top w:w="85" w:type="dxa"/>
              <w:left w:w="85" w:type="dxa"/>
              <w:bottom w:w="85" w:type="dxa"/>
              <w:right w:w="85" w:type="dxa"/>
            </w:tcMar>
            <w:shd w:fill="F1F5F8"/>
          </w:tcPr>
          <w:p>
            <w:pPr>
              <w:spacing w:before="40" w:after="60" w:line="240" w:lineRule="auto"/>
            </w:pPr>
            <w:r>
              <w:rPr>
                <w:b w:val="0"/>
                <w:color w:val="000000"/>
                <w:sz w:val="22"/>
              </w:rPr>
              <w:t>Reemplazo físico y agregado</w:t>
            </w:r>
          </w:p>
        </w:tc>
        <w:tc>
          <w:tcPr>
            <w:tcW w:type="dxa" w:w="5398"/>
            <w:vAlign w:val="center"/>
            <w:tcMar>
              <w:top w:w="85" w:type="dxa"/>
              <w:left w:w="85" w:type="dxa"/>
              <w:bottom w:w="85" w:type="dxa"/>
              <w:right w:w="85" w:type="dxa"/>
            </w:tcMar>
            <w:shd w:fill="F1F5F8"/>
          </w:tcPr>
          <w:p>
            <w:pPr>
              <w:spacing w:before="40" w:after="60" w:line="240" w:lineRule="auto"/>
            </w:pPr>
            <w:r>
              <w:rPr>
                <w:b w:val="0"/>
                <w:color w:val="000000"/>
                <w:sz w:val="22"/>
              </w:rPr>
              <w:t>El instalado permanece en sucursal y no siempre existe retirado</w:t>
            </w:r>
          </w:p>
        </w:tc>
        <w:tc>
          <w:tcPr>
            <w:tcW w:type="dxa" w:w="5398"/>
            <w:vAlign w:val="center"/>
            <w:tcMar>
              <w:top w:w="85" w:type="dxa"/>
              <w:left w:w="85" w:type="dxa"/>
              <w:bottom w:w="85" w:type="dxa"/>
              <w:right w:w="85" w:type="dxa"/>
            </w:tcMar>
            <w:shd w:fill="F1F5F8"/>
          </w:tcPr>
          <w:p>
            <w:pPr>
              <w:spacing w:before="40" w:after="60" w:line="240" w:lineRule="auto"/>
            </w:pPr>
            <w:r>
              <w:rPr>
                <w:b w:val="0"/>
                <w:color w:val="000000"/>
                <w:sz w:val="22"/>
              </w:rPr>
              <w:t>Criterios nuevos separan cilindros, ubicaciones, pesajes y custodias</w:t>
            </w:r>
          </w:p>
        </w:tc>
      </w:tr>
      <w:tr>
        <w:trPr>
          <w:cantSplit/>
        </w:trPr>
        <w:tc>
          <w:tcPr>
            <w:tcW w:type="dxa" w:w="3660"/>
            <w:vAlign w:val="center"/>
            <w:tcMar>
              <w:top w:w="85" w:type="dxa"/>
              <w:left w:w="85" w:type="dxa"/>
              <w:bottom w:w="85" w:type="dxa"/>
              <w:right w:w="85" w:type="dxa"/>
            </w:tcMar>
          </w:tcPr>
          <w:p>
            <w:pPr>
              <w:spacing w:before="40" w:after="60" w:line="240" w:lineRule="auto"/>
            </w:pPr>
            <w:r>
              <w:rPr>
                <w:b w:val="0"/>
                <w:color w:val="000000"/>
                <w:sz w:val="22"/>
              </w:rPr>
              <w:t>Retiro registrado por Técnico</w:t>
            </w:r>
          </w:p>
        </w:tc>
        <w:tc>
          <w:tcPr>
            <w:tcW w:type="dxa" w:w="5398"/>
            <w:vAlign w:val="center"/>
            <w:tcMar>
              <w:top w:w="85" w:type="dxa"/>
              <w:left w:w="85" w:type="dxa"/>
              <w:bottom w:w="85" w:type="dxa"/>
              <w:right w:w="85" w:type="dxa"/>
            </w:tcMar>
          </w:tcPr>
          <w:p>
            <w:pPr>
              <w:spacing w:before="40" w:after="60" w:line="240" w:lineRule="auto"/>
            </w:pPr>
            <w:r>
              <w:rPr>
                <w:b w:val="0"/>
                <w:color w:val="000000"/>
                <w:sz w:val="22"/>
              </w:rPr>
              <w:t>Corrección expresa del 25 de octubre</w:t>
            </w:r>
          </w:p>
        </w:tc>
        <w:tc>
          <w:tcPr>
            <w:tcW w:type="dxa" w:w="5398"/>
            <w:vAlign w:val="center"/>
            <w:tcMar>
              <w:top w:w="85" w:type="dxa"/>
              <w:left w:w="85" w:type="dxa"/>
              <w:bottom w:w="85" w:type="dxa"/>
              <w:right w:w="85" w:type="dxa"/>
            </w:tcMar>
          </w:tcPr>
          <w:p>
            <w:pPr>
              <w:spacing w:before="40" w:after="60" w:line="240" w:lineRule="auto"/>
            </w:pPr>
            <w:r>
              <w:rPr>
                <w:b w:val="0"/>
                <w:color w:val="000000"/>
                <w:sz w:val="22"/>
              </w:rPr>
              <w:t>Peso y foto de salida; selección limitada al encargo; prueba vigente</w:t>
            </w:r>
          </w:p>
        </w:tc>
      </w:tr>
      <w:tr>
        <w:trPr>
          <w:cantSplit/>
        </w:trPr>
        <w:tc>
          <w:tcPr>
            <w:tcW w:type="dxa" w:w="3660"/>
            <w:vAlign w:val="center"/>
            <w:tcMar>
              <w:top w:w="85" w:type="dxa"/>
              <w:left w:w="85" w:type="dxa"/>
              <w:bottom w:w="85" w:type="dxa"/>
              <w:right w:w="85" w:type="dxa"/>
            </w:tcMar>
            <w:shd w:fill="F1F5F8"/>
          </w:tcPr>
          <w:p>
            <w:pPr>
              <w:spacing w:before="40" w:after="60" w:line="240" w:lineRule="auto"/>
            </w:pPr>
            <w:r>
              <w:rPr>
                <w:b w:val="0"/>
                <w:color w:val="000000"/>
                <w:sz w:val="22"/>
              </w:rPr>
              <w:t>Bodega antes del Autorizador</w:t>
            </w:r>
          </w:p>
        </w:tc>
        <w:tc>
          <w:tcPr>
            <w:tcW w:type="dxa" w:w="5398"/>
            <w:vAlign w:val="center"/>
            <w:tcMar>
              <w:top w:w="85" w:type="dxa"/>
              <w:left w:w="85" w:type="dxa"/>
              <w:bottom w:w="85" w:type="dxa"/>
              <w:right w:w="85" w:type="dxa"/>
            </w:tcMar>
            <w:shd w:fill="F1F5F8"/>
          </w:tcPr>
          <w:p>
            <w:pPr>
              <w:spacing w:before="40" w:after="60" w:line="240" w:lineRule="auto"/>
            </w:pPr>
            <w:r>
              <w:rPr>
                <w:b w:val="0"/>
                <w:color w:val="000000"/>
                <w:sz w:val="22"/>
              </w:rPr>
              <w:t>La recepción y revisión física preceden al cierre administrativo</w:t>
            </w:r>
          </w:p>
        </w:tc>
        <w:tc>
          <w:tcPr>
            <w:tcW w:type="dxa" w:w="5398"/>
            <w:vAlign w:val="center"/>
            <w:tcMar>
              <w:top w:w="85" w:type="dxa"/>
              <w:left w:w="85" w:type="dxa"/>
              <w:bottom w:w="85" w:type="dxa"/>
              <w:right w:w="85" w:type="dxa"/>
            </w:tcMar>
            <w:shd w:fill="F1F5F8"/>
          </w:tcPr>
          <w:p>
            <w:pPr>
              <w:spacing w:before="40" w:after="60" w:line="240" w:lineRule="auto"/>
            </w:pPr>
            <w:r>
              <w:rPr>
                <w:b w:val="0"/>
                <w:color w:val="000000"/>
                <w:sz w:val="22"/>
              </w:rPr>
              <w:t>Bloqueos y dos revisiones con usuario y fecha</w:t>
            </w:r>
          </w:p>
        </w:tc>
      </w:tr>
      <w:tr>
        <w:trPr>
          <w:cantSplit/>
        </w:trPr>
        <w:tc>
          <w:tcPr>
            <w:tcW w:type="dxa" w:w="3660"/>
            <w:vAlign w:val="center"/>
            <w:tcMar>
              <w:top w:w="85" w:type="dxa"/>
              <w:left w:w="85" w:type="dxa"/>
              <w:bottom w:w="85" w:type="dxa"/>
              <w:right w:w="85" w:type="dxa"/>
            </w:tcMar>
          </w:tcPr>
          <w:p>
            <w:pPr>
              <w:spacing w:before="40" w:after="60" w:line="240" w:lineRule="auto"/>
            </w:pPr>
            <w:r>
              <w:rPr>
                <w:b w:val="0"/>
                <w:color w:val="000000"/>
                <w:sz w:val="22"/>
              </w:rPr>
              <w:t>Conservar pesajes independientes</w:t>
            </w:r>
          </w:p>
        </w:tc>
        <w:tc>
          <w:tcPr>
            <w:tcW w:type="dxa" w:w="5398"/>
            <w:vAlign w:val="center"/>
            <w:tcMar>
              <w:top w:w="85" w:type="dxa"/>
              <w:left w:w="85" w:type="dxa"/>
              <w:bottom w:w="85" w:type="dxa"/>
              <w:right w:w="85" w:type="dxa"/>
            </w:tcMar>
          </w:tcPr>
          <w:p>
            <w:pPr>
              <w:spacing w:before="40" w:after="60" w:line="240" w:lineRule="auto"/>
            </w:pPr>
            <w:r>
              <w:rPr>
                <w:b w:val="0"/>
                <w:color w:val="000000"/>
                <w:sz w:val="22"/>
              </w:rPr>
              <w:t>Recepción puede diferir de lectura de terreno</w:t>
            </w:r>
          </w:p>
        </w:tc>
        <w:tc>
          <w:tcPr>
            <w:tcW w:type="dxa" w:w="5398"/>
            <w:vAlign w:val="center"/>
            <w:tcMar>
              <w:top w:w="85" w:type="dxa"/>
              <w:left w:w="85" w:type="dxa"/>
              <w:bottom w:w="85" w:type="dxa"/>
              <w:right w:w="85" w:type="dxa"/>
            </w:tcMar>
          </w:tcPr>
          <w:p>
            <w:pPr>
              <w:spacing w:before="40" w:after="60" w:line="240" w:lineRule="auto"/>
            </w:pPr>
            <w:r>
              <w:rPr>
                <w:b w:val="0"/>
                <w:color w:val="000000"/>
                <w:sz w:val="22"/>
              </w:rPr>
              <w:t>Caso sintético de 50 g; no sobrescritura ni culpa automática</w:t>
            </w:r>
          </w:p>
        </w:tc>
      </w:tr>
      <w:tr>
        <w:trPr>
          <w:cantSplit/>
        </w:trPr>
        <w:tc>
          <w:tcPr>
            <w:tcW w:type="dxa" w:w="3660"/>
            <w:vAlign w:val="center"/>
            <w:tcMar>
              <w:top w:w="85" w:type="dxa"/>
              <w:left w:w="85" w:type="dxa"/>
              <w:bottom w:w="85" w:type="dxa"/>
              <w:right w:w="85" w:type="dxa"/>
            </w:tcMar>
            <w:shd w:fill="F1F5F8"/>
          </w:tcPr>
          <w:p>
            <w:pPr>
              <w:spacing w:before="40" w:after="60" w:line="240" w:lineRule="auto"/>
            </w:pPr>
            <w:r>
              <w:rPr>
                <w:b w:val="0"/>
                <w:color w:val="000000"/>
                <w:sz w:val="22"/>
              </w:rPr>
              <w:t>Actualizar esquema SQL</w:t>
            </w:r>
          </w:p>
        </w:tc>
        <w:tc>
          <w:tcPr>
            <w:tcW w:type="dxa" w:w="5398"/>
            <w:vAlign w:val="center"/>
            <w:tcMar>
              <w:top w:w="85" w:type="dxa"/>
              <w:left w:w="85" w:type="dxa"/>
              <w:bottom w:w="85" w:type="dxa"/>
              <w:right w:w="85" w:type="dxa"/>
            </w:tcMar>
            <w:shd w:fill="F1F5F8"/>
          </w:tcPr>
          <w:p>
            <w:pPr>
              <w:spacing w:before="40" w:after="60" w:line="240" w:lineRule="auto"/>
            </w:pPr>
            <w:r>
              <w:rPr>
                <w:b w:val="0"/>
                <w:color w:val="000000"/>
                <w:sz w:val="22"/>
              </w:rPr>
              <w:t>Modelo anterior no representaba todo el contexto nuevo</w:t>
            </w:r>
          </w:p>
        </w:tc>
        <w:tc>
          <w:tcPr>
            <w:tcW w:type="dxa" w:w="5398"/>
            <w:vAlign w:val="center"/>
            <w:tcMar>
              <w:top w:w="85" w:type="dxa"/>
              <w:left w:w="85" w:type="dxa"/>
              <w:bottom w:w="85" w:type="dxa"/>
              <w:right w:w="85" w:type="dxa"/>
            </w:tcMar>
            <w:shd w:fill="F1F5F8"/>
          </w:tcPr>
          <w:p>
            <w:pPr>
              <w:spacing w:before="40" w:after="60" w:line="240" w:lineRule="auto"/>
            </w:pPr>
            <w:r>
              <w:rPr>
                <w:b w:val="0"/>
                <w:color w:val="000000"/>
                <w:sz w:val="22"/>
              </w:rPr>
              <w:t>31 tablas y 144 comprobaciones locales, sin afirmar integración</w:t>
            </w:r>
          </w:p>
        </w:tc>
      </w:tr>
      <w:tr>
        <w:trPr>
          <w:cantSplit/>
        </w:trPr>
        <w:tc>
          <w:tcPr>
            <w:tcW w:type="dxa" w:w="3660"/>
            <w:vAlign w:val="center"/>
            <w:tcMar>
              <w:top w:w="85" w:type="dxa"/>
              <w:left w:w="85" w:type="dxa"/>
              <w:bottom w:w="85" w:type="dxa"/>
              <w:right w:w="85" w:type="dxa"/>
            </w:tcMar>
          </w:tcPr>
          <w:p>
            <w:pPr>
              <w:keepNext/>
              <w:spacing w:before="40" w:after="60" w:line="240" w:lineRule="auto"/>
            </w:pPr>
            <w:r>
              <w:rPr>
                <w:b w:val="0"/>
                <w:color w:val="000000"/>
                <w:sz w:val="22"/>
              </w:rPr>
              <w:t>Priorizar persistencia y archivos</w:t>
            </w:r>
          </w:p>
        </w:tc>
        <w:tc>
          <w:tcPr>
            <w:tcW w:type="dxa" w:w="5398"/>
            <w:vAlign w:val="center"/>
            <w:tcMar>
              <w:top w:w="85" w:type="dxa"/>
              <w:left w:w="85" w:type="dxa"/>
              <w:bottom w:w="85" w:type="dxa"/>
              <w:right w:w="85" w:type="dxa"/>
            </w:tcMar>
          </w:tcPr>
          <w:p>
            <w:pPr>
              <w:keepNext/>
              <w:spacing w:before="40" w:after="60" w:line="240" w:lineRule="auto"/>
            </w:pPr>
            <w:r>
              <w:rPr>
                <w:b w:val="0"/>
                <w:color w:val="000000"/>
                <w:sz w:val="22"/>
              </w:rPr>
              <w:t>El prototipo actual es temporal</w:t>
            </w:r>
          </w:p>
        </w:tc>
        <w:tc>
          <w:tcPr>
            <w:tcW w:type="dxa" w:w="5398"/>
            <w:vAlign w:val="center"/>
            <w:tcMar>
              <w:top w:w="85" w:type="dxa"/>
              <w:left w:w="85" w:type="dxa"/>
              <w:bottom w:w="85" w:type="dxa"/>
              <w:right w:w="85" w:type="dxa"/>
            </w:tcMar>
          </w:tcPr>
          <w:p>
            <w:pPr>
              <w:keepNext/>
              <w:spacing w:before="40" w:after="60" w:line="240" w:lineRule="auto"/>
            </w:pPr>
            <w:r>
              <w:rPr>
                <w:b w:val="0"/>
                <w:color w:val="000000"/>
                <w:sz w:val="22"/>
              </w:rPr>
              <w:t>Siguiente incremento sujeto a pruebas tras reinicio</w:t>
            </w:r>
          </w:p>
        </w:tc>
      </w:tr>
      <w:tr>
        <w:trPr>
          <w:cantSplit/>
        </w:trPr>
        <w:tc>
          <w:tcPr>
            <w:tcW w:type="dxa" w:w="3660"/>
            <w:vAlign w:val="center"/>
            <w:tcMar>
              <w:top w:w="85" w:type="dxa"/>
              <w:left w:w="85" w:type="dxa"/>
              <w:bottom w:w="85" w:type="dxa"/>
              <w:right w:w="85" w:type="dxa"/>
            </w:tcMar>
            <w:shd w:fill="F1F5F8"/>
          </w:tcPr>
          <w:p>
            <w:pPr>
              <w:spacing w:before="40" w:after="60" w:line="240" w:lineRule="auto"/>
            </w:pPr>
            <w:r>
              <w:rPr>
                <w:b w:val="0"/>
                <w:color w:val="000000"/>
                <w:sz w:val="22"/>
              </w:rPr>
              <w:t>Mantener Power BI como pendiente</w:t>
            </w:r>
          </w:p>
        </w:tc>
        <w:tc>
          <w:tcPr>
            <w:tcW w:type="dxa" w:w="5398"/>
            <w:vAlign w:val="center"/>
            <w:tcMar>
              <w:top w:w="85" w:type="dxa"/>
              <w:left w:w="85" w:type="dxa"/>
              <w:bottom w:w="85" w:type="dxa"/>
              <w:right w:w="85" w:type="dxa"/>
            </w:tcMar>
            <w:shd w:fill="F1F5F8"/>
          </w:tcPr>
          <w:p>
            <w:pPr>
              <w:spacing w:before="40" w:after="60" w:line="240" w:lineRule="auto"/>
            </w:pPr>
            <w:r>
              <w:rPr>
                <w:b w:val="0"/>
                <w:color w:val="000000"/>
                <w:sz w:val="22"/>
              </w:rPr>
              <w:t>Requisito reafirmado y dependiente de datos durables</w:t>
            </w:r>
          </w:p>
        </w:tc>
        <w:tc>
          <w:tcPr>
            <w:tcW w:type="dxa" w:w="5398"/>
            <w:vAlign w:val="center"/>
            <w:tcMar>
              <w:top w:w="85" w:type="dxa"/>
              <w:left w:w="85" w:type="dxa"/>
              <w:bottom w:w="85" w:type="dxa"/>
              <w:right w:w="85" w:type="dxa"/>
            </w:tcMar>
            <w:shd w:fill="F1F5F8"/>
          </w:tcPr>
          <w:p>
            <w:pPr>
              <w:spacing w:before="40" w:after="60" w:line="240" w:lineRule="auto"/>
            </w:pPr>
            <w:r>
              <w:rPr>
                <w:b w:val="0"/>
                <w:color w:val="000000"/>
                <w:sz w:val="22"/>
              </w:rPr>
              <w:t>Definir medidas, fuentes, permisos y forma de integración</w:t>
            </w:r>
          </w:p>
        </w:tc>
      </w:tr>
    </w:tbl>
    <w:p>
      <w:pPr>
        <w:spacing w:after="0"/>
      </w:pPr>
    </w:p>
    <w:p>
      <w:pPr>
        <w:pStyle w:val="Heading1"/>
      </w:pPr>
      <w:r>
        <w:t>5 Actividades no iniciadas y dependencias</w:t>
      </w:r>
    </w:p>
    <w:p>
      <w:r>
        <w:t>La persistencia central no puede darse por terminada porque exista SQL. Requiere elegir y configurar identidad del servidor, acceso a datos, transacciones, manejo de versiones y reintentos, y almacenamiento privado de archivos. La salida esperada es repetir los recorridos vigentes y demostrar que las OT, los pesajes, la custodia y las fotos sobreviven al reinicio. [3] [5] [6]</w:t>
      </w:r>
    </w:p>
    <w:p>
      <w:r>
        <w:t>G03/P02, integración de identidades operativas y almacenamiento privado, está No iniciado. El JWT y los permisos por rol de las cuentas de demostración ya existentes pertenecen al prototipo; no acreditan usuarios operativos persistentes, revocación ni acceso real a almacenamiento de archivos. [9]</w:t>
      </w:r>
    </w:p>
    <w:p>
      <w:r>
        <w:t>H-LOCAL, implementación de borradores locales, está En curso porque existe código IndexedDB y faltan verificaciones de recuperación y envío. G05/P03, pruebas sin red y cámara física, está No iniciado: se estiman dos sesiones, seis horas, para ensayar dispositivos, pérdida de red, recuperación y envío sin duplicados después de integrar persistencia e identidad. El retiro requiere conexión; el código local disponible no acredita inicio sin red ni sincronización automática operativa. [12]</w:t>
      </w:r>
    </w:p>
    <w:p>
      <w:r>
        <w:t>Los límites semanales y mensuales requieren acordar qué masa cuenta, calendario de corte, tratamiento de devoluciones, reservas y excepciones. El esquema conserva versiones y jerarquía, pero el cómputo automático y su uso por la API siguen pendientes. La política de diferencias, rechazo, reenvío y rectificación material debe definirse con la contraparte.</w:t>
      </w:r>
    </w:p>
    <w:p>
      <w:r>
        <w:t>Power BI, integración Defontana, costos, certificados y métricas ambientales dependen de registros persistentes y semántica de negocio. No se asigna emisión a cada reemplazo ni se da por realizada una integración o reporte externo. Las pruebas de aceptación de usuarios requieren participación real y conformidad registrada, además de las pruebas técnicas disponibles.</w:t>
      </w:r>
    </w:p>
    <w:p>
      <w:pPr>
        <w:pStyle w:val="Heading1"/>
      </w:pPr>
      <w:r>
        <w:t>6 Criterios de seguimiento del próximo incremento</w:t>
      </w:r>
    </w:p>
    <w:p>
      <w:pPr>
        <w:pStyle w:val="ListBullet"/>
      </w:pPr>
      <w:r>
        <w:t>Registrar la regla y el criterio de aceptación antes del cambio. [1] [2]</w:t>
      </w:r>
    </w:p>
    <w:p>
      <w:pPr>
        <w:pStyle w:val="ListBullet"/>
      </w:pPr>
      <w:r>
        <w:t>Identificar el alcance exacto de la implementación y el dato de prueba. [1] [2]</w:t>
      </w:r>
    </w:p>
    <w:p>
      <w:pPr>
        <w:pStyle w:val="ListBullet"/>
      </w:pPr>
      <w:r>
        <w:t>Conservar resultado esperado, observado, fecha y entorno. [1] [2]</w:t>
      </w:r>
    </w:p>
    <w:p>
      <w:pPr>
        <w:pStyle w:val="ListBullet"/>
      </w:pPr>
      <w:r>
        <w:t>Repetir controles afectados por el cambio y documentar fallos pendientes. [1] [2]</w:t>
      </w:r>
    </w:p>
    <w:p>
      <w:pPr>
        <w:pStyle w:val="ListBullet"/>
      </w:pPr>
      <w:r>
        <w:t>Actualizar plan, lista de trabajo e informe con el mismo corte. [1] [2]</w:t>
      </w:r>
    </w:p>
    <w:p>
      <w:pPr>
        <w:pStyle w:val="ListBullet"/>
        <w:keepNext/>
      </w:pPr>
      <w:r>
        <w:t>Separar conformidad técnica, validación de negocio y aceptación del docente o cliente. [1] [2]</w:t>
      </w:r>
    </w:p>
    <w:p>
      <w:pPr>
        <w:pStyle w:val="ListBullet"/>
      </w:pPr>
      <w:r>
        <w:t>Revisar calendario y adaptación individual con el docente antes de comprometer nuevas fechas. [1] [2]</w:t>
      </w:r>
    </w:p>
    <w:p>
      <w:pPr>
        <w:pStyle w:val="Heading1"/>
      </w:pPr>
      <w:r>
        <w:t>7 Reflexión individual sobre la planificación</w:t>
      </w:r>
    </w:p>
    <w:p>
      <w:r>
        <w:t>Mi continuidad individual requiere un plan que refleje la disponibilidad documentada de tres horas diarias y haga visibles las dependencias. Priorizo la persistencia de los datos, la identidad y el almacenamiento de fotografías antes de las pruebas e integraciones que dependen de ellos. Distinguir entre el código de borradores locales que ya está en desarrollo y las pruebas sin red o con cámara física que aún no se han iniciado permite mantener el registro de implementación coherente con la evidencia disponible. [2]</w:t>
      </w:r>
    </w:p>
    <w:p>
      <w:r>
        <w:t>El incremento restante G01 a G09 se estima en 22 sesiones de tres horas. Estas 66 horas describen esfuerzo planificado; las duraciones históricas de referencia y las horas efectivamente trabajadas se registran por separado. Utilizo esta distinción para revisar el avance sin presentar una actividad planificada como completada. El calendario sigue la referencia de semanas académicas que informé; las fechas oficiales de entrega, la evaluación individual y la aceptación de usuarios todavía requieren los acuerdos correspondientes.</w:t>
      </w:r>
    </w:p>
    <w:p>
      <w:pPr>
        <w:pStyle w:val="Heading1"/>
      </w:pPr>
      <w:r>
        <w:t>8 Fuentes y antecedentes</w:t>
      </w:r>
    </w:p>
    <w:p>
      <w:pPr>
        <w:keepNext/>
        <w:keepLines/>
      </w:pPr>
      <w:r>
        <w:t>Las citas numéricas del texto remiten a las referencias siguientes. Los antecedentes se conservan en ANEXOS/FUENTES con su estructura y autoría originales; los enlaces abren esas copias. Las fechas de los ensayos corresponden a las ejecuciones guardadas. La revisión documental no incorpora nuevas pruebas de la aplicación. Cuando la fuente no declara una fecha editorial se indica s. f.</w:t>
      </w:r>
    </w:p>
    <w:p>
      <w:pPr>
        <w:keepLines/>
        <w:spacing w:after="120"/>
      </w:pPr>
      <w:r>
        <w:t xml:space="preserve">[1] Duoc UC. (s. f.). Guía del estudiante: Fase 2, Desarrollo del Proyecto APT [Guía académica institucional]. </w:t>
      </w:r>
      <w:hyperlink r:id="rId9">
        <w:r>
          <w:rPr>
            <w:color w:val="24445F"/>
          </w:rPr>
          <w:t>2.4_​GuiaEstudiante_​Fase 2_​DesarrolloProyecto APT.docx</w:t>
        </w:r>
      </w:hyperlink>
    </w:p>
    <w:p>
      <w:pPr>
        <w:keepLines/>
        <w:spacing w:after="120"/>
      </w:pPr>
      <w:r>
        <w:t xml:space="preserve">[2] Moya, Dante. (2026). Plan de trabajo de ocho columnas para Fase 2, actualizado al 22 de octubre de 2026 [Plan de trabajo individual]. </w:t>
      </w:r>
      <w:hyperlink r:id="rId10">
        <w:r>
          <w:rPr>
            <w:color w:val="24445F"/>
          </w:rPr>
          <w:t>EVIDENCIAS_​GRUPALES/​EVA_​2/​01_​PLAN_​DE_​TRABAJO_​8_​COLUMNAS_​FASE_​2.md</w:t>
        </w:r>
      </w:hyperlink>
    </w:p>
    <w:p>
      <w:pPr>
        <w:keepLines/>
        <w:spacing w:after="120"/>
      </w:pPr>
      <w:r>
        <w:t xml:space="preserve">[3] Moya, Dante. (2026). Retiro por el técnico, cambio y revisión posterior [Definición de negocio registrada en el proyecto]. </w:t>
      </w:r>
      <w:hyperlink r:id="rId11">
        <w:r>
          <w:rPr>
            <w:color w:val="24445F"/>
          </w:rPr>
          <w:t>AFRISAN_​NUEVO/​01_​NEGOCIO/​12_​FLUJO_​TERRENO_​DESPACHO_​Y_​REVISION.md</w:t>
        </w:r>
      </w:hyperlink>
    </w:p>
    <w:p>
      <w:pPr>
        <w:keepLines/>
        <w:spacing w:after="120"/>
      </w:pPr>
      <w:r>
        <w:t xml:space="preserve">[4] Proyecto AFRISAN. (2026). Flujo de terreno corregido según Dante [Registro de validación técnica]. </w:t>
      </w:r>
      <w:hyperlink r:id="rId12">
        <w:r>
          <w:rPr>
            <w:color w:val="24445F"/>
          </w:rPr>
          <w:t>AFRISAN_​NUEVO/​04_​SEGUIMIENTO/​FLUJO_​TERRENO_​2026_​10_​25/​README.md</w:t>
        </w:r>
      </w:hyperlink>
    </w:p>
    <w:p>
      <w:pPr>
        <w:keepLines/>
        <w:spacing w:after="120"/>
      </w:pPr>
      <w:r>
        <w:t xml:space="preserve">[5] Proyecto AFRISAN. (2026). Validación del SQL del contexto actual [Registro de validación técnica]. </w:t>
      </w:r>
      <w:hyperlink r:id="rId13">
        <w:r>
          <w:rPr>
            <w:color w:val="24445F"/>
          </w:rPr>
          <w:t>AFRISAN_​NUEVO/​04_​SEGUIMIENTO/​VALIDACION_​SQL_​CONTEXTO_​2026_​10_​25/​README.md</w:t>
        </w:r>
      </w:hyperlink>
    </w:p>
    <w:p>
      <w:pPr>
        <w:keepLines/>
        <w:spacing w:after="120"/>
      </w:pPr>
      <w:r>
        <w:t xml:space="preserve">[6] Moya, Dante. (2026). Módulo de gráficos con Power BI [Definición de negocio registrada en el proyecto]. </w:t>
      </w:r>
      <w:hyperlink r:id="rId14">
        <w:r>
          <w:rPr>
            <w:color w:val="24445F"/>
          </w:rPr>
          <w:t>AFRISAN_​NUEVO/​01_​NEGOCIO/​11_​MODULO_​POWER_​BI.md</w:t>
        </w:r>
      </w:hyperlink>
    </w:p>
    <w:p>
      <w:pPr>
        <w:keepLines/>
        <w:spacing w:after="120"/>
      </w:pPr>
      <w:r>
        <w:t xml:space="preserve">[7] Proyecto AFRISAN. (s. f.). AFRISAN-APT: índice y orientación del repositorio [Índice documental del proyecto]. </w:t>
      </w:r>
      <w:hyperlink r:id="rId15">
        <w:r>
          <w:rPr>
            <w:color w:val="24445F"/>
          </w:rPr>
          <w:t>README.md</w:t>
        </w:r>
      </w:hyperlink>
    </w:p>
    <w:p>
      <w:pPr>
        <w:keepLines/>
        <w:spacing w:after="120"/>
      </w:pPr>
      <w:r>
        <w:t xml:space="preserve">[8] Duoc UC (guía); Carolina Ávila, Dante Moya y Yarek Larraguibel (contenido completado). (s. f.). Guía del estudiante: Fase 1, Definición del Proyecto APT, completada para AFRISAN [Guía académica con contenido del equipo histórico]. </w:t>
      </w:r>
      <w:hyperlink r:id="rId16">
        <w:r>
          <w:rPr>
            <w:color w:val="24445F"/>
          </w:rPr>
          <w:t>EVIDENCIAS_​GRUPALES/​1.5_​GuiaEstudiante_​Fase 1_​Definicion Proyecto APT (1).docx</w:t>
        </w:r>
      </w:hyperlink>
    </w:p>
    <w:p>
      <w:pPr>
        <w:keepLines/>
        <w:spacing w:after="120"/>
      </w:pPr>
      <w:r>
        <w:t xml:space="preserve">[9] Proyecto AFRISAN. (2026). AFRISAN nuevo: primera entrega de inventario [Documentación técnica del proyecto]. </w:t>
      </w:r>
      <w:hyperlink r:id="rId17">
        <w:r>
          <w:rPr>
            <w:color w:val="24445F"/>
          </w:rPr>
          <w:t>AFRISAN_​NUEVO/​03_​CODIGO/​README.md</w:t>
        </w:r>
      </w:hyperlink>
    </w:p>
    <w:p>
      <w:pPr>
        <w:keepLines/>
        <w:spacing w:after="120"/>
      </w:pPr>
      <w:r>
        <w:t xml:space="preserve">[10] Duoc UC. (s. f.). Evaluación Fase 1: Formativa de definición del Proyecto APT [Pauta académica institucional]. </w:t>
      </w:r>
      <w:hyperlink r:id="rId18">
        <w:r>
          <w:rPr>
            <w:color w:val="24445F"/>
          </w:rPr>
          <w:t>EVIDENCIAS_​GRUPALES/​1.4_​APT122_​FormativaFase1.docx</w:t>
        </w:r>
      </w:hyperlink>
    </w:p>
    <w:p>
      <w:pPr>
        <w:keepLines/>
        <w:spacing w:after="120"/>
      </w:pPr>
      <w:r>
        <w:t xml:space="preserve">[11] Duoc UC. (s. f.). Evaluación Fase 2: Informe de avance del Proyecto APT [Pauta académica institucional]. </w:t>
      </w:r>
      <w:hyperlink r:id="rId19">
        <w:r>
          <w:rPr>
            <w:color w:val="24445F"/>
          </w:rPr>
          <w:t>2.5_​APT122_​Sumativa Avance Fase2.pdf</w:t>
        </w:r>
      </w:hyperlink>
    </w:p>
    <w:p>
      <w:pPr>
        <w:keepLines/>
        <w:spacing w:after="120"/>
      </w:pPr>
      <w:r>
        <w:t xml:space="preserve">[12] Proyecto AFRISAN. (s. f.). Servicio de trabajo local de la aplicación web [Archivo de código fuente]. </w:t>
      </w:r>
      <w:hyperlink r:id="rId20">
        <w:r>
          <w:rPr>
            <w:color w:val="24445F"/>
          </w:rPr>
          <w:t>AFRISAN_​NUEVO/​03_​CODIGO/​Afrisan.Nuevo.Web/​Services/​TrabajoLocalService.cs</w:t>
        </w:r>
      </w:hyperlink>
    </w:p>
    <w:sectPr w:rsidR="00FC693F" w:rsidRPr="0006063C" w:rsidSect="00034616">
      <w:footerReference w:type="default" r:id="rId21"/>
      <w:pgSz w:w="16838" w:h="11906"/>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AFRISAN DM · Página </w:t>
    </w:r>
    <w:fldSimple w:instr="PAGE"/>
    <w:r>
      <w:rPr>
        <w:sz w:val="18"/>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NEXOS/FUENTES/2.4_GuiaEstudiante_Fase%202_DesarrolloProyecto%20APT.docx" TargetMode="External"/><Relationship Id="rId10" Type="http://schemas.openxmlformats.org/officeDocument/2006/relationships/hyperlink" Target="../ANEXOS/FUENTES/EVIDENCIAS_GRUPALES/EVA_2/01_PLAN_DE_TRABAJO_8_COLUMNAS_FASE_2.md" TargetMode="External"/><Relationship Id="rId11" Type="http://schemas.openxmlformats.org/officeDocument/2006/relationships/hyperlink" Target="../ANEXOS/FUENTES/AFRISAN_NUEVO/01_NEGOCIO/12_FLUJO_TERRENO_DESPACHO_Y_REVISION.md" TargetMode="External"/><Relationship Id="rId12" Type="http://schemas.openxmlformats.org/officeDocument/2006/relationships/hyperlink" Target="../ANEXOS/FUENTES/AFRISAN_NUEVO/04_SEGUIMIENTO/FLUJO_TERRENO_2026_10_25/README.md" TargetMode="External"/><Relationship Id="rId13" Type="http://schemas.openxmlformats.org/officeDocument/2006/relationships/hyperlink" Target="../ANEXOS/FUENTES/AFRISAN_NUEVO/04_SEGUIMIENTO/VALIDACION_SQL_CONTEXTO_2026_10_25/README.md" TargetMode="External"/><Relationship Id="rId14" Type="http://schemas.openxmlformats.org/officeDocument/2006/relationships/hyperlink" Target="../ANEXOS/FUENTES/AFRISAN_NUEVO/01_NEGOCIO/11_MODULO_POWER_BI.md" TargetMode="External"/><Relationship Id="rId15" Type="http://schemas.openxmlformats.org/officeDocument/2006/relationships/hyperlink" Target="../ANEXOS/FUENTES/README.md" TargetMode="External"/><Relationship Id="rId16" Type="http://schemas.openxmlformats.org/officeDocument/2006/relationships/hyperlink" Target="../ANEXOS/FUENTES/EVIDENCIAS_GRUPALES/1.5_GuiaEstudiante_Fase%201_Definicion%20Proyecto%20APT%20%281%29.docx" TargetMode="External"/><Relationship Id="rId17" Type="http://schemas.openxmlformats.org/officeDocument/2006/relationships/hyperlink" Target="../ANEXOS/FUENTES/AFRISAN_NUEVO/03_CODIGO/README.md" TargetMode="External"/><Relationship Id="rId18" Type="http://schemas.openxmlformats.org/officeDocument/2006/relationships/hyperlink" Target="../ANEXOS/FUENTES/EVIDENCIAS_GRUPALES/1.4_APT122_FormativaFase1.docx" TargetMode="External"/><Relationship Id="rId19" Type="http://schemas.openxmlformats.org/officeDocument/2006/relationships/hyperlink" Target="../ANEXOS/FUENTES/2.5_APT122_Sumativa%20Avance%20Fase2.pdf" TargetMode="External"/><Relationship Id="rId20" Type="http://schemas.openxmlformats.org/officeDocument/2006/relationships/hyperlink" Target="../ANEXOS/FUENTES/AFRISAN_NUEVO/03_CODIGO/Afrisan.Nuevo.Web/Services/TrabajoLocalService.cs"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del plan de trabajo de AFRISAN</dc:title>
  <dc:subject>Nuevo AFRISAN · Documentación APT en español · Revisión 29/10/2026</dc:subject>
  <dc:creator>Dante Moya</dc:creator>
  <cp:keywords/>
  <dc:description>Actualización documental con conservación de antecedentes y autoría histórica.</dc:description>
  <cp:lastModifiedBy/>
  <cp:revision>1</cp:revision>
  <dcterms:created xsi:type="dcterms:W3CDTF">2013-12-23T23:15:00Z</dcterms:created>
  <dcterms:modified xsi:type="dcterms:W3CDTF">2013-12-23T23:15:00Z</dcterms:modified>
  <cp:category/>
  <dc:language>es-CL</dc:language>
</cp:coreProperties>
</file>