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950" w:rsidRDefault="00A03E9D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2 · Entregable</w:t>
      </w:r>
    </w:p>
    <w:p w:rsidR="00D34950" w:rsidRDefault="00A03E9D">
      <w:pPr>
        <w:spacing w:after="60"/>
      </w:pPr>
      <w:r>
        <w:rPr>
          <w:b/>
          <w:bCs/>
          <w:sz w:val="44"/>
          <w:szCs w:val="44"/>
        </w:rPr>
        <w:t xml:space="preserve">Documento de casos de prueba manuales v1</w:t>
      </w:r>
    </w:p>
    <w:p w:rsidR="00D34950" w:rsidRDefault="00A03E9D">
      <w:pPr>
        <w:spacing w:after="200"/>
      </w:pPr>
      <w:r>
        <w:rPr>
          <w:color w:val="3D4750"/>
          <w:sz w:val="24"/>
          <w:szCs w:val="24"/>
        </w:rPr>
        <w:t xml:space="preserve">Proyecto: PrestaShop 9.2.0 (demo.prestashop.com) · carrito y flujo de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950"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4950" w:rsidRDefault="00A03E9D">
            <w:pPr>
              <w:spacing w:line="290" w:lineRule="auto"/>
            </w:pPr>
            <w:r>
              <w:rPr>
                <w:b/>
                <w:bCs/>
                <w:sz w:val="20"/>
                <w:szCs w:val="20"/>
              </w:rPr>
              <w:t xml:space="preserve">Resumen.</w:t>
            </w:r>
            <w:r>
              <w:rPr>
                <w:sz w:val="20"/>
                <w:szCs w:val="20"/>
              </w:rPr>
              <w:t xml:space="preserve"> Se diseñaron y ejecutaron </w:t>
            </w:r>
            <w:r>
              <w:rPr>
                <w:b/>
                <w:bCs/>
                <w:sz w:val="20"/>
                <w:szCs w:val="20"/>
              </w:rPr>
              <w:t xml:space="preserve">12 casos</w:t>
            </w:r>
            <w:r>
              <w:rPr>
                <w:sz w:val="20"/>
                <w:szCs w:val="20"/>
              </w:rPr>
              <w:t xml:space="preserve"> sobre el campo cantidad del carrito (M04 My Cart): 4 pasaron y 8 fallaron, con </w:t>
            </w:r>
            <w:r>
              <w:rPr>
                <w:b/>
                <w:bCs/>
                <w:sz w:val="20"/>
                <w:szCs w:val="20"/>
              </w:rPr>
              <w:t xml:space="preserve">2 defectos</w:t>
            </w:r>
            <w:r>
              <w:rPr>
                <w:sz w:val="20"/>
                <w:szCs w:val="20"/>
              </w:rPr>
              <w:t xml:space="preserve">. Las cinco pruebas rápidas de accesibilidad aplicadas al flujo de compra dejaron </w:t>
            </w:r>
            <w:r>
              <w:rPr>
                <w:b/>
                <w:bCs/>
                <w:sz w:val="20"/>
                <w:szCs w:val="20"/>
              </w:rPr>
              <w:t xml:space="preserve">3 hallazgos</w:t>
            </w:r>
            <w:r>
              <w:rPr>
                <w:sz w:val="20"/>
                <w:szCs w:val="20"/>
              </w:rPr>
              <w:t xml:space="preserve">. Casos, defectos y hallazgos están registrados en Jira: </w:t>
            </w:r>
            <w:hyperlink r:id="rId109">
              <w:r>
                <w:rPr>
                  <w:sz w:val="20"/>
                  <w:szCs w:val="20"/>
                  <w:color w:val="0B69C7"/>
                  <w:u w:val="single"/>
                </w:rPr>
                <w:t xml:space="preserve">tablero del proyecto PS</w:t>
              </w:r>
            </w:hyperlink>
            <w:r>
              <w:rPr>
                <w:sz w:val="20"/>
                <w:szCs w:val="20"/>
              </w:rPr>
              <w:t xml:space="preserve">.</w:t>
            </w:r>
          </w:p>
        </w:tc>
      </w:tr>
    </w:tbl>
    <w:p w:rsidR="00D34950" w:rsidRDefault="00D3495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9 de octubre de 2026, en Chrome 155 (escritorio), instancia miniature-railway.demo.prestashop.com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14 de octubre de 2026, en Chrome 155 (escritorio, 1440 × 900) con teclado, DevTools y Lighthouse, instancia stormy-flock.demo.prestashop.com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Gestión de casos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Jira, proyecto PrestaShop QA (PS), PS Sprint 1: </w:t>
            </w:r>
            <w:hyperlink r:id="rId109">
              <w:r>
                <w:rPr>
                  <w:sz w:val="18"/>
                  <w:szCs w:val="18"/>
                  <w:color w:val="0B69C7"/>
                  <w:u w:val="single"/>
                </w:rPr>
                <w:t xml:space="preserve">https://dantetarraga.atlassian.net/jira/software/projects/PS/boards/2</w:t>
              </w:r>
            </w:hyperlink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docs/Casos de prueba manuales v1 — PrestaShop.docx (en el repositorio proyecto_final_Dante_Tarraga)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1. Alcance y flujos críticos</w:t>
      </w:r>
    </w:p>
    <w:p w:rsidR="00D34950" w:rsidRDefault="00A03E9D">
      <w:pPr>
        <w:spacing w:after="120" w:line="300" w:lineRule="auto"/>
      </w:pPr>
      <w:r>
        <w:rPr>
          <w:b/>
          <w:bCs/>
        </w:rPr>
        <w:t xml:space="preserve">Sistema bajo prueba:</w:t>
      </w:r>
      <w:r>
        <w:rPr/>
        <w:t xml:space="preserve"> front office de la demo oficial de PrestaShop 9.2.0, tienda de ejemplo «my store» con precios en EUR. </w:t>
      </w:r>
      <w:r>
        <w:rPr>
          <w:b/>
          <w:bCs/>
        </w:rPr>
        <w:t xml:space="preserve">Fuera de alcance de esta versión:</w:t>
      </w:r>
      <w:r>
        <w:rPr/>
        <w:t xml:space="preserve"> back office, rendimiento, seguridad y cobro real (ver el Documento de Alcance de Calidad QA-ALC-001).</w:t>
      </w:r>
    </w:p>
    <w:p w:rsidR="00D34950" w:rsidRDefault="00A03E9D">
      <w:pPr>
        <w:spacing w:after="120" w:line="300" w:lineRule="auto"/>
      </w:pPr>
      <w:r>
        <w:rPr>
          <w:b/>
          <w:bCs/>
        </w:rPr>
        <w:t xml:space="preserve">Requisito de referencia:</w:t>
      </w:r>
      <w:r>
        <w:rPr/>
        <w:t xml:space="preserve"> la ficha del producto indica 300 unidades en stock y compra mínima de 1. Se toma como requisito: </w:t>
      </w:r>
      <w:r>
        <w:rPr/>
        <w:t xml:space="preserve">la cantidad debe ser un número entero entre 1 y 300, y el total es precio × cantidad. </w:t>
      </w:r>
      <w:r>
        <w:rPr>
          <w:b/>
          <w:bCs/>
        </w:rPr>
        <w:t xml:space="preserve">Datos base de prueba:</w:t>
      </w:r>
      <w:r>
        <w:rPr/>
        <w:t xml:space="preserve"> Hummingbird printed t-shirt, talla S, color blanco, €22.94 (20 % de descuento sobre €28.68).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es crítico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Comprar un producto: buscar, ver el detalle, agregar al carrito, iniciar sesión, checkout y confirmación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Es el objetivo de la tienda: si falla, no vende. Es el flujo donde se aplicaron las pruebas de accesibilidad.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Cantidad válida en el carrito y cálculo del total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Un total incorrecto cobra mal al cliente.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Cantidad fuera de rango o inválida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Define cómo responde el carrito ante errores del usuario: no debe cambiar el pedido sin avisar.</w:t>
            </w:r>
          </w:p>
        </w:tc>
      </w:tr>
    </w:tbl>
    <w:p w:rsidR="00D34950" w:rsidRDefault="00A03E9D">
      <w:pPr>
        <w:spacing w:after="120" w:line="300" w:lineRule="auto"/>
      </w:pPr>
      <w:r>
        <w:rPr>
          <w:b/>
          <w:bCs/>
        </w:rPr>
        <w:t xml:space="preserve">Mapa del flujo F1 (registrado con DevTools, 07-oct-2026):</w:t>
      </w:r>
      <w:r>
        <w:rPr/>
        <w:t xml:space="preserve"> GET / → GET /search?s=shirt → GET /1-1-hummingbird-printed-t-shirt.html → POST /cart → POST /login (302) → GET /order → POST /order → POST /module/ps_wirepayment/validation (302) → GET /order-confirmation. Resultado: pedido TCPDKGKBS confirmado, total €31.34 (€22.94 + envío €8.40). Los errores de validación responden 200 con un mensaje en pantalla, así que los casos verifican el mensaje y no solo el código de estado.</w:t>
      </w:r>
    </w:p>
    <w:p w:rsidR="00D34950" w:rsidRDefault="00A03E9D">
      <w:pPr>
        <w:spacing w:after="120" w:line="300" w:lineRule="auto"/>
      </w:pPr>
      <w:r>
        <w:rPr>
          <w:b/>
          <w:bCs/>
        </w:rPr>
        <w:t xml:space="preserve">Clases de equivalencia y valores límite del campo cantidad (F2 y F3):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360"/>
      </w:tblGrid>
      <w:tr w:rsidR="00D34950">
        <w:trPr>
          <w:tblHeader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Entero entre 1 y 300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1, 2, 299, 300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Cero o negativo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Inválida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0, -1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Mayor que el stock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Inválida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301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Inválida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Letras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Inválida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abc</w:t>
            </w:r>
          </w:p>
        </w:tc>
      </w:tr>
      <w:tr w:rsidR="00D34950">
        <w:trPr>
          <w:cantSplit/>
        </w:trPr>
        <w:tc>
          <w:tcPr>
            <w:tcW w:w="3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Vacío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Inválida</w:t>
            </w:r>
          </w:p>
        </w:tc>
        <w:tc>
          <w:tcPr>
            <w:tcW w:w="43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(vacío)</w:t>
            </w:r>
          </w:p>
        </w:tc>
      </w:tr>
    </w:tbl>
    <w:p w:rsidR="00D34950" w:rsidRDefault="00A03E9D">
      <w:pPr>
        <w:spacing w:after="120" w:line="300" w:lineRule="auto"/>
      </w:pPr>
      <w:r>
        <w:rPr>
          <w:b/>
          <w:bCs/>
        </w:rPr>
        <w:t xml:space="preserve">Valores límite:</w:t>
      </w:r>
      <w:r>
        <w:rPr/>
        <w:t xml:space="preserve"> 0, 1, 2, 299, 300 y 301.</w:t>
      </w:r>
    </w:p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2. Casos de prueba por flujo</w:t>
      </w:r>
    </w:p>
    <w:p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 xml:space="preserve">Pasó</w:t>
      </w:r>
      <w:r>
        <w:rPr>
          <w:sz w:val="19"/>
          <w:szCs w:val="19"/>
        </w:rPr>
        <w:t xml:space="preserve"> (resultado igual al esperado) y </w:t>
      </w:r>
      <w:r>
        <w:rPr>
          <w:b/>
          <w:bCs/>
          <w:sz w:val="19"/>
          <w:szCs w:val="19"/>
        </w:rPr>
        <w:t xml:space="preserve">Falló</w:t>
      </w:r>
      <w:r>
        <w:rPr>
          <w:sz w:val="19"/>
          <w:szCs w:val="19"/>
        </w:rPr>
        <w:t xml:space="preserve"> (resultado distinto, con defecto vinculado). Son los mismos estados del tablero de Jira; entre paréntesis va la clave de cada caso. </w:t>
      </w:r>
      <w:r>
        <w:rPr>
          <w:b/>
          <w:bCs/>
          <w:sz w:val="19"/>
          <w:szCs w:val="19"/>
        </w:rPr>
        <w:t xml:space="preserve">Precondición común:</w:t>
      </w:r>
      <w:r>
        <w:rPr>
          <w:sz w:val="19"/>
          <w:szCs w:val="19"/>
        </w:rPr>
        <w:t xml:space="preserve"> la camiseta de los datos base está en el carrito. Ejecución del 9 de octubre de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600"/>
        <w:gridCol w:w="2318"/>
        <w:gridCol w:w="1758"/>
        <w:gridCol w:w="2558"/>
        <w:gridCol w:w="1066"/>
      </w:tblGrid>
      <w:tr w:rsidR="00D34950">
        <w:trPr>
          <w:tblHeader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Flujo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Pasos y datos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observado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CP-01</w:t>
            </w:r>
            <w:r>
              <w:rPr>
                <w:sz w:val="17"/>
                <w:szCs w:val="17"/>
              </w:rPr>
              <w:t xml:space="preserve"> (</w:t>
            </w:r>
            <w:hyperlink r:id="rId210">
              <w:r>
                <w:rPr>
                  <w:sz w:val="17"/>
                  <w:szCs w:val="17"/>
                  <w:color w:val="0B69C7"/>
                  <w:u w:val="single"/>
                </w:rPr>
                <w:t xml:space="preserve">PS-5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En el carrito, cantidad 1 y Enter.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1 unidad, total €22.94.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1 unidad, total €22.94.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Pasó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CP-02</w:t>
            </w:r>
            <w:r>
              <w:rPr>
                <w:sz w:val="17"/>
                <w:szCs w:val="17"/>
              </w:rPr>
              <w:t xml:space="preserve"> (</w:t>
            </w:r>
            <w:hyperlink r:id="rId312">
              <w:r>
                <w:rPr>
                  <w:sz w:val="17"/>
                  <w:szCs w:val="17"/>
                  <w:color w:val="0B69C7"/>
                  <w:u w:val="single"/>
                </w:rPr>
                <w:t xml:space="preserve">PS-6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Cantidad 2 (límite inferior + 1).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€45.88.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€45.89.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(DEF-01)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CP-03</w:t>
            </w:r>
            <w:r>
              <w:rPr>
                <w:sz w:val="17"/>
                <w:szCs w:val="17"/>
              </w:rPr>
              <w:t xml:space="preserve"> (</w:t>
            </w:r>
            <w:hyperlink r:id="rId415">
              <w:r>
                <w:rPr>
                  <w:sz w:val="17"/>
                  <w:szCs w:val="17"/>
                  <w:color w:val="0B69C7"/>
                  <w:u w:val="single"/>
                </w:rPr>
                <w:t xml:space="preserve">PS-7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Cantidad 299 (límite superior − 1).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€6,859.06.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€6,860.26.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(DEF-01)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CP-04</w:t>
            </w:r>
            <w:r>
              <w:rPr>
                <w:sz w:val="17"/>
                <w:szCs w:val="17"/>
              </w:rPr>
              <w:t xml:space="preserve"> (</w:t>
            </w:r>
            <w:hyperlink r:id="rId519">
              <w:r>
                <w:rPr>
                  <w:sz w:val="17"/>
                  <w:szCs w:val="17"/>
                  <w:color w:val="0B69C7"/>
                  <w:u w:val="single"/>
                </w:rPr>
                <w:t xml:space="preserve">PS-8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Cantidad 300 (límite superior = stock).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€6,882.00.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Total €6,883.20.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(DEF-01)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CP-05</w:t>
            </w:r>
            <w:r>
              <w:rPr>
                <w:sz w:val="17"/>
                <w:szCs w:val="17"/>
              </w:rPr>
              <w:t xml:space="preserve"> (</w:t>
            </w:r>
            <w:hyperlink r:id="rId624">
              <w:r>
                <w:rPr>
                  <w:sz w:val="17"/>
                  <w:szCs w:val="17"/>
                  <w:color w:val="0B69C7"/>
                  <w:u w:val="single"/>
                </w:rPr>
                <w:t xml:space="preserve">PS-9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En la ficha del producto, cantidad 301 e intentar agregar.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deja agregar.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Botón deshabilitado y mensaje «There are not enough products in stock».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Pasó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CP-06</w:t>
            </w:r>
            <w:r>
              <w:rPr>
                <w:sz w:val="17"/>
                <w:szCs w:val="17"/>
              </w:rPr>
              <w:t xml:space="preserve"> (</w:t>
            </w:r>
            <w:hyperlink r:id="rId730">
              <w:r>
                <w:rPr>
                  <w:sz w:val="17"/>
                  <w:szCs w:val="17"/>
                  <w:color w:val="0B69C7"/>
                  <w:u w:val="single"/>
                </w:rPr>
                <w:t xml:space="preserve">PS-10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En el carrito, cantidad 301.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deja cambiar.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Mensaje «You can only buy 300...» y se queda en 300.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Pasó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CP-07</w:t>
            </w:r>
            <w:r>
              <w:rPr>
                <w:sz w:val="17"/>
                <w:szCs w:val="17"/>
              </w:rPr>
              <w:t xml:space="preserve"> (</w:t>
            </w:r>
            <w:hyperlink r:id="rId837">
              <w:r>
                <w:rPr>
                  <w:sz w:val="17"/>
                  <w:szCs w:val="17"/>
                  <w:color w:val="0B69C7"/>
                  <w:u w:val="single"/>
                </w:rPr>
                <w:t xml:space="preserve">PS-11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En el carrito, cantidad 0.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acepta 0.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El campo cambia a 1.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Pasó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CP-08</w:t>
            </w:r>
            <w:r>
              <w:rPr>
                <w:sz w:val="17"/>
                <w:szCs w:val="17"/>
              </w:rPr>
              <w:t xml:space="preserve"> (</w:t>
            </w:r>
            <w:hyperlink r:id="rId945">
              <w:r>
                <w:rPr>
                  <w:sz w:val="17"/>
                  <w:szCs w:val="17"/>
                  <w:color w:val="0B69C7"/>
                  <w:u w:val="single"/>
                </w:rPr>
                <w:t xml:space="preserve">PS-12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Con 3 unidades, borrar y escribir -1.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acepta; se queda en 3.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El carrito queda en 11.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(DEF-02)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CP-09</w:t>
            </w:r>
            <w:r>
              <w:rPr>
                <w:sz w:val="17"/>
                <w:szCs w:val="17"/>
              </w:rPr>
              <w:t xml:space="preserve"> (</w:t>
            </w:r>
            <w:hyperlink r:id="rId1054">
              <w:r>
                <w:rPr>
                  <w:sz w:val="17"/>
                  <w:szCs w:val="17"/>
                  <w:color w:val="0B69C7"/>
                  <w:u w:val="single"/>
                </w:rPr>
                <w:t xml:space="preserve">PS-13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Con 5 unidades, borrar y escribir 1.5.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acepta; se queda en 5.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El carrito queda en 15.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(DEF-02)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CP-10</w:t>
            </w:r>
            <w:r>
              <w:rPr>
                <w:sz w:val="17"/>
                <w:szCs w:val="17"/>
              </w:rPr>
              <w:t xml:space="preserve"> (</w:t>
            </w:r>
            <w:hyperlink r:id="rId1164">
              <w:r>
                <w:rPr>
                  <w:sz w:val="17"/>
                  <w:szCs w:val="17"/>
                  <w:color w:val="0B69C7"/>
                  <w:u w:val="single"/>
                </w:rPr>
                <w:t xml:space="preserve">PS-14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Con 5 unidades, borrar y escribir abc.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No acepta; se queda en 5.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El carrito baja a 1 sin aviso.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(DEF-02)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CP-11</w:t>
            </w:r>
            <w:r>
              <w:rPr>
                <w:sz w:val="17"/>
                <w:szCs w:val="17"/>
              </w:rPr>
              <w:t xml:space="preserve"> (</w:t>
            </w:r>
            <w:hyperlink r:id="rId1275">
              <w:r>
                <w:rPr>
                  <w:sz w:val="17"/>
                  <w:szCs w:val="17"/>
                  <w:color w:val="0B69C7"/>
                  <w:u w:val="single"/>
                </w:rPr>
                <w:t xml:space="preserve">PS-15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Borrar la cantidad (vacío) y escribir 7.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7 unidades.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17 unidades.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(DEF-02)</w:t>
            </w:r>
          </w:p>
        </w:tc>
      </w:tr>
      <w:tr w:rsidR="00D34950">
        <w:trPr>
          <w:cantSplit/>
        </w:trPr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CP-12</w:t>
            </w:r>
            <w:r>
              <w:rPr>
                <w:sz w:val="17"/>
                <w:szCs w:val="17"/>
              </w:rPr>
              <w:t xml:space="preserve"> (</w:t>
            </w:r>
            <w:hyperlink r:id="rId1387">
              <w:r>
                <w:rPr>
                  <w:sz w:val="17"/>
                  <w:szCs w:val="17"/>
                  <w:color w:val="0B69C7"/>
                  <w:u w:val="single"/>
                </w:rPr>
                <w:t xml:space="preserve">PS-16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w="231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Borrar la cantidad y escribir 007.</w:t>
            </w:r>
          </w:p>
        </w:tc>
        <w:tc>
          <w:tcPr>
            <w:tcW w:w="17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7 unidades.</w:t>
            </w:r>
          </w:p>
        </w:tc>
        <w:tc>
          <w:tcPr>
            <w:tcW w:w="255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107 unidades.</w:t>
            </w:r>
          </w:p>
        </w:tc>
        <w:tc>
          <w:tcPr>
            <w:tcW w:w="10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 xml:space="preserve">Falló (DEF-02)</w:t>
            </w:r>
          </w:p>
        </w:tc>
      </w:tr>
    </w:tbl>
    <w:p w:rsidR="00D34950" w:rsidRDefault="00A03E9D">
      <w:pPr>
        <w:spacing w:after="60" w:line="300" w:lineRule="auto"/>
      </w:pPr>
      <w:r>
        <w:rPr>
          <w:b/>
          <w:bCs/>
          <w:i/>
          <w:iCs/>
          <w:sz w:val="19"/>
          <w:szCs w:val="19"/>
        </w:rPr>
        <w:t xml:space="preserve">Resultado:</w:t>
      </w:r>
      <w:r>
        <w:rPr>
          <w:i/>
          <w:iCs/>
          <w:sz w:val="19"/>
          <w:szCs w:val="19"/>
        </w:rPr>
        <w:t xml:space="preserve"> 4 casos pasaron y 8 fallaron. </w:t>
      </w:r>
      <w:r>
        <w:rPr>
          <w:b/>
          <w:bCs/>
          <w:i/>
          <w:iCs/>
          <w:sz w:val="19"/>
          <w:szCs w:val="19"/>
        </w:rPr>
        <w:t xml:space="preserve">Observación:</w:t>
      </w:r>
      <w:r>
        <w:rPr>
          <w:i/>
          <w:iCs/>
          <w:sz w:val="19"/>
          <w:szCs w:val="19"/>
        </w:rPr>
        <w:t xml:space="preserve"> el rango 1 a 300 sale de la ficha del producto, que actúa como requisito. Con 1 unidad, el botón «−» elimina el producto del carrito sin pedir confirmación; no se reporta todavía porque puede ser una decisión de diseño (riesgo R03 del alcance).</w:t>
      </w:r>
    </w:p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3. Defectos encontrados</w:t>
      </w:r>
    </w:p>
    <w:p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Severidad (impacto) y prioridad (urgencia) son propuestas del autor, cada una con su justificación.</w:t>
      </w:r>
    </w:p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DEF-01 · El total no coincide con precio × cantidad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CP-02, CP-03 y CP-04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1) Agregar la Hummingbird printed t-shirt (S, blanco, €22.94) al carrito. 2) En el carrito, cambiar la cantidad a 2. 3) Leer el total.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€45.88 (2 × €22.94).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€45.89. Con 299 unidades €6,860.26 y con 300 unidades €6,883.20 (€1.20 de más). Parece que calcula con €22.944, el precio con descuento sin redondear, y en pantalla muestra €22.94.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Media / alta. El cliente paga más de lo que ve en el precio unitario; la diferencia crece con la cantidad y afecta la confianza en el cobro.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docs/evidencias/DEF-M04-001-total-2-unidades.png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Jira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500">
              <w:r>
                <w:rPr>
                  <w:sz w:val="18"/>
                  <w:szCs w:val="18"/>
                  <w:color w:val="0B69C7"/>
                  <w:u w:val="single"/>
                </w:rPr>
                <w:t xml:space="preserve">PS-3</w:t>
              </w:r>
            </w:hyperlink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DEF-02 · Al borrar la cantidad aparece un 1 y lo que se escribe se suma detrás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CP-08, CP-09, CP-10, CP-11 y CP-12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1) En el carrito, seleccionar la cantidad y borrarla. 2) Escribir 7. 3) Pulsar Enter.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7 unidades.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Al borrar, el campo pone 1 solo y queda 17. Lo mismo con -1 (11), 1.5 (15) y 007 (107). Con «abc» el carrito baja a 1. No sale ningún mensaje.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Alta / alta. El carrito cambia la cantidad sin avisar y el cliente puede comprar 10 veces más unidades de las que quería.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docs/evidencias/DEF-M04-002-cantidad-17.png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Jira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614">
              <w:r>
                <w:rPr>
                  <w:sz w:val="18"/>
                  <w:szCs w:val="18"/>
                  <w:color w:val="0B69C7"/>
                  <w:u w:val="single"/>
                </w:rPr>
                <w:t xml:space="preserve">PS-4</w:t>
              </w:r>
            </w:hyperlink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4. Accesibilidad y usabilidad</w:t>
      </w:r>
    </w:p>
    <w:p w:rsidR="00D34950" w:rsidRDefault="00A03E9D">
      <w:pPr>
        <w:spacing w:after="120" w:line="300" w:lineRule="auto"/>
      </w:pPr>
      <w:r>
        <w:rPr>
          <w:b/>
          <w:bCs/>
        </w:rPr>
        <w:t xml:space="preserve">Cómo se midió:</w:t>
      </w:r>
      <w:r>
        <w:rPr/>
        <w:t xml:space="preserve"> cinco pruebas rápidas manuales sobre el flujo F1 (ficha del producto, carrito y checkout paso 1), en Chrome 155 con teclado y DevTools (árbol de accesibilidad y estilos calculados), el 14 de octubre de 2026. </w:t>
      </w:r>
      <w:r>
        <w:rPr>
          <w:b/>
          <w:bCs/>
        </w:rPr>
        <w:t xml:space="preserve">Lighthouse</w:t>
      </w:r>
      <w:r>
        <w:rPr/>
        <w:t xml:space="preserve"> (categoría Accessibility) dio 100 en el checkout y aun así la revisión manual encontró los tres hallazgos: la herramienta automática detecta solo una parte de los problemas.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D34950">
        <w:trPr>
          <w:tblHeader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WCAG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 w:rsidR="00D34950">
        <w:trPr>
          <w:cantSplit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1. Teclado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2.1.1, 2.4.7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Pasó. Todo es alcanzable con Tab, el foco se ve y Esc cierra el modal del carrito.</w:t>
            </w:r>
          </w:p>
        </w:tc>
      </w:tr>
      <w:tr w:rsidR="00D34950">
        <w:trPr>
          <w:cantSplit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2. Contraste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1.4.3, 1.4.11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Falló. Bordes de campos a 1.3 : 1 (H1).</w:t>
            </w:r>
          </w:p>
        </w:tc>
      </w:tr>
      <w:tr w:rsidR="00D34950">
        <w:trPr>
          <w:cantSplit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3. Texto alternativo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1.1.1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Falló. Íconos leídos con el nombre del archivo (H3).</w:t>
            </w:r>
          </w:p>
        </w:tc>
      </w:tr>
      <w:tr w:rsidR="00D34950">
        <w:trPr>
          <w:cantSplit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4. Formularios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3.3.2, 3.3.1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Falló. Contraseña de «Sign in» sin nombre (H2).</w:t>
            </w:r>
          </w:p>
        </w:tc>
      </w:tr>
      <w:tr w:rsidR="00D34950">
        <w:trPr>
          <w:cantSplit/>
        </w:trPr>
        <w:tc>
          <w:tcPr>
            <w:tcW w:w="2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5. Enlaces y botones con nombre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2.4.4, 4.1.2</w:t>
            </w:r>
          </w:p>
        </w:tc>
        <w:tc>
          <w:tcPr>
            <w:tcW w:w="5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Pasó. Los botones de íconos tienen aria-label.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H1 · Los bordes de los campos y de los radio buttons casi no se ven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Perceptible (1.4.11 Contraste sin texto, mínimo 3 : 1).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1) Agregar un producto e ir al checkout. 2) En «Order as a guest», medir con DevTools el color del borde de First name, Last name, Email, Birthdate y Mr./Mrs. contra el fondo.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Bordes con al menos 3 : 1 contra el fondo blanco.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Borde rgb(222, 226, 230) sobre blanco = 1.3 : 1.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Personas con baja visión: no distinguen dónde está el campo ni si el radio está marcado.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Registrado en Jira como defecto </w:t>
            </w:r>
            <w:hyperlink r:id="rId1729">
              <w:r>
                <w:rPr>
                  <w:sz w:val="18"/>
                  <w:szCs w:val="18"/>
                  <w:color w:val="0B69C7"/>
                  <w:u w:val="single"/>
                </w:rPr>
                <w:t xml:space="preserve">PS-17</w:t>
              </w:r>
            </w:hyperlink>
            <w:r>
              <w:rPr>
                <w:sz w:val="18"/>
                <w:szCs w:val="18"/>
              </w:rPr>
              <w:t xml:space="preserve">. Evidencia: docs/evidencias/A11Y-01-bordes-campos-checkout.png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Media / media.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H2 · El campo contraseña de «Sign in» en el checkout no tiene nombre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Comprensible y Robusto (3.3.2 Etiquetas o instrucciones; 4.1.2 Nombre, función, valor).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1) Con productos en el carrito, ir al checkout. 2) Abrir la pestaña «Sign in». 3) Revisar el campo Password en el árbol de accesibilidad o con un lector de pantalla.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El lector anuncia «Password, required».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El campo no tiene nombre: el lector anuncia solo «edit, required». La etiqueta usa for="field-password", pero ese id ya lo tiene la contraseña oculta del formulario de invitado. Hacer clic en «Password» no pone el cursor en el campo.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Personas que usan lector de pantalla y quienes hacen clic en la etiqueta.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Registrado en Jira como defecto </w:t>
            </w:r>
            <w:hyperlink r:id="rId1845">
              <w:r>
                <w:rPr>
                  <w:sz w:val="18"/>
                  <w:szCs w:val="18"/>
                  <w:color w:val="0B69C7"/>
                  <w:u w:val="single"/>
                </w:rPr>
                <w:t xml:space="preserve">PS-18</w:t>
              </w:r>
            </w:hyperlink>
            <w:r>
              <w:rPr>
                <w:sz w:val="18"/>
                <w:szCs w:val="18"/>
              </w:rPr>
              <w:t xml:space="preserve">. Evidencia: docs/evidencias/A11Y-02-login-password-sin-etiqueta.png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Alta / alta. Está en el inicio de sesión del checkout, dentro del flujo crítico.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H3 · Los íconos de garantías se leen con el nombre del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Perceptible (1.1.1 Contenido no textual).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1) Ir al checkout. 2) Revisar los íconos de Security, Delivery y Return policy en el árbol de accesibilidad de DevTools.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Como el texto ya está al lado, el ícono es decorativo y el lector lo ignora (alt="" o aria-hidden).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El lector dice «pack2_security, imagen, Created with Sketch.»; lo mismo con pack2_carrier y pack2_parcel.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Personas que usan lector de pantalla: escuchan ruido sin información.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Registrado en Jira como defecto </w:t>
            </w:r>
            <w:hyperlink r:id="rId1962">
              <w:r>
                <w:rPr>
                  <w:sz w:val="18"/>
                  <w:szCs w:val="18"/>
                  <w:color w:val="0B69C7"/>
                  <w:u w:val="single"/>
                </w:rPr>
                <w:t xml:space="preserve">PS-19</w:t>
              </w:r>
            </w:hyperlink>
            <w:r>
              <w:rPr>
                <w:sz w:val="18"/>
                <w:szCs w:val="18"/>
              </w:rPr>
              <w:t xml:space="preserve">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 xml:space="preserve">Baja / baja.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U1 · El error del formulario no dice qué corregir (usabilidad)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Heurística de Nielsen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Ayudar a reconocer, diagnosticar y recuperarse de los errores.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Observado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Con «Juan3» en First name sale «Invalid format.» en un recuadro rojo; el error no está ligado al campo (sin aria-invalid ni aria-describedby) y el foco queda en la página.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Heurística relacionada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Prevención de errores: en el carrito la cantidad cambia sin aviso al escribir un valor inválido (ver DEF-02).</w:t>
            </w:r>
          </w:p>
        </w:tc>
      </w:tr>
    </w:tbl>
    <w:p w:rsidR="00D34950" w:rsidRDefault="00A03E9D">
      <w:pPr>
        <w:spacing w:after="60" w:line="300" w:lineRule="auto"/>
      </w:pPr>
      <w:r>
        <w:rPr>
          <w:b/>
          <w:bCs/>
          <w:sz w:val="19"/>
          <w:szCs w:val="19"/>
        </w:rPr>
        <w:t xml:space="preserve">Por confirmar:</w:t>
      </w:r>
      <w:r>
        <w:rPr>
          <w:sz w:val="19"/>
          <w:szCs w:val="19"/>
        </w:rPr>
        <w:t xml:space="preserve"> los números 2, 3 y 4 de los pasos del checkout son blancos sobre gris claro (1.49 : 1). WCAG excluye los controles inactivos, pero el número informa el progreso; se confirma con el instructor antes de reportarlo. El «Authentication failed.» genérico del login no se reporta: no revelar si el correo existe es una medida de seguridad.</w:t>
      </w:r>
    </w:p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5. Registro en la herramienta de gestión (Jira)</w:t>
      </w:r>
    </w:p>
    <w:p w:rsidR="00D34950" w:rsidRDefault="00A03E9D">
      <w:pPr>
        <w:spacing w:after="120" w:line="300" w:lineRule="auto"/>
      </w:pPr>
      <w:r>
        <w:rPr/>
        <w:t xml:space="preserve">Casos, defectos y hallazgos están en Jira (plan Free), proyecto </w:t>
      </w:r>
      <w:r>
        <w:rPr>
          <w:b/>
          <w:bCs/>
        </w:rPr>
        <w:t xml:space="preserve">PrestaShop QA (PS)</w:t>
      </w:r>
      <w:r>
        <w:rPr/>
        <w:t xml:space="preserve">, sprint </w:t>
      </w:r>
      <w:r>
        <w:rPr>
          <w:b/>
          <w:bCs/>
        </w:rPr>
        <w:t xml:space="preserve">PS Sprint 1</w:t>
      </w:r>
      <w:r>
        <w:rPr/>
        <w:t xml:space="preserve"> (14 al 28 de octubre de 2026): </w:t>
      </w:r>
      <w:hyperlink r:id="rId109">
        <w:r>
          <w:rPr>
            <w:color w:val="0B69C7"/>
            <w:u w:val="single"/>
          </w:rPr>
          <w:t xml:space="preserve">https://dantetarraga.atlassian.net/jira/software/projects/PS/boards/2</w:t>
        </w:r>
      </w:hyperlink>
      <w:r>
        <w:rPr/>
        <w:t xml:space="preserve">. Tipos de incidencia: Caso de prueba y Defecto, agrupados en dos epics. Estados: Por hacer → En curso → Pasó o Falló; los defectos quedan en Por hacer hasta que se corrigen (Cerrado). Cada caso que falló está vinculado a su defecto («relates to») y los defectos llevan la captura de evidencia adjunta.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860"/>
        <w:gridCol w:w="2300"/>
      </w:tblGrid>
      <w:tr w:rsidR="00D34950">
        <w:trPr>
          <w:tblHeader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630F4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Epic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2080">
              <w:r>
                <w:rPr>
                  <w:sz w:val="18"/>
                  <w:szCs w:val="18"/>
                  <w:color w:val="0B69C7"/>
                  <w:u w:val="single"/>
                </w:rPr>
                <w:t xml:space="preserve">PS-1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M04 Carrito – Campo cantidad (regla, clases y valores límite)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Agrupa CP-01 a CP-12, DEF-01 y DEF-02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Epic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2199">
              <w:r>
                <w:rPr>
                  <w:sz w:val="18"/>
                  <w:szCs w:val="18"/>
                  <w:color w:val="0B69C7"/>
                  <w:u w:val="single"/>
                </w:rPr>
                <w:t xml:space="preserve">PS-2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Accesibilidad y usabilidad – Flujo de compra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Agrupa H1, H2 y H3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210">
              <w:r>
                <w:rPr>
                  <w:sz w:val="18"/>
                  <w:szCs w:val="18"/>
                  <w:color w:val="0B69C7"/>
                  <w:u w:val="single"/>
                </w:rPr>
                <w:t xml:space="preserve">PS-5</w:t>
              </w:r>
            </w:hyperlink>
            <w:r>
              <w:rPr>
                <w:sz w:val="18"/>
                <w:szCs w:val="18"/>
              </w:rPr>
              <w:t xml:space="preserve"> a </w:t>
            </w:r>
            <w:hyperlink r:id="rId1387">
              <w:r>
                <w:rPr>
                  <w:sz w:val="18"/>
                  <w:szCs w:val="18"/>
                  <w:color w:val="0B69C7"/>
                  <w:u w:val="single"/>
                </w:rPr>
                <w:t xml:space="preserve">PS-16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CP-01 a CP-12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4 en Pasó y 8 en Falló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500">
              <w:r>
                <w:rPr>
                  <w:sz w:val="18"/>
                  <w:szCs w:val="18"/>
                  <w:color w:val="0B69C7"/>
                  <w:u w:val="single"/>
                </w:rPr>
                <w:t xml:space="preserve">PS-3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DEF-01 · El total no coincide con precio × cantidad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Enlaza a PS-6, PS-7 y PS-8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614">
              <w:r>
                <w:rPr>
                  <w:sz w:val="18"/>
                  <w:szCs w:val="18"/>
                  <w:color w:val="0B69C7"/>
                  <w:u w:val="single"/>
                </w:rPr>
                <w:t xml:space="preserve">PS-4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DEF-02 · La cantidad se concatena al borrarla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Enlaza a PS-12 a PS-16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729">
              <w:r>
                <w:rPr>
                  <w:sz w:val="18"/>
                  <w:szCs w:val="18"/>
                  <w:color w:val="0B69C7"/>
                  <w:u w:val="single"/>
                </w:rPr>
                <w:t xml:space="preserve">PS-17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H1 · Bordes de campos con contraste 1.3 : 1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Epic PS-2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845">
              <w:r>
                <w:rPr>
                  <w:sz w:val="18"/>
                  <w:szCs w:val="18"/>
                  <w:color w:val="0B69C7"/>
                  <w:u w:val="single"/>
                </w:rPr>
                <w:t xml:space="preserve">PS-18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H2 · Contraseña de «Sign in» sin nombre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Epic PS-2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hyperlink r:id="rId1962">
              <w:r>
                <w:rPr>
                  <w:sz w:val="18"/>
                  <w:szCs w:val="18"/>
                  <w:color w:val="0B69C7"/>
                  <w:u w:val="single"/>
                </w:rPr>
                <w:t xml:space="preserve">PS-19</w:t>
              </w:r>
            </w:hyperlink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H3 · Íconos leídos con el nombre del archivo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Epic PS-2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6. Uso de IA (Nivel 1)</w:t>
      </w:r>
    </w:p>
    <w:p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 xml:space="preserve">La IA se usó para revisar la cobertura de los casos y para explicar un hallazgo; los datos y resultados salen de la ejecución propia.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  <w:lang w:val="en-US"/>
              </w:rPr>
              <w:t xml:space="preserve">1) «Revisa mis clases de equivalencia y valores límite del campo cantidad: ¿falta algún caso?». 2) «Explícame por qué el campo contraseña del login no tiene nombre accesible si tiene una etiqueta visible.»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  <w:lang w:val="en-US"/>
              </w:rPr>
              <w:t xml:space="preserve">El caso de ceros a la izquierda (007), que se ejecutó como CP-12 y salió como otro caso de DEF-02. La explicación de que un id debe ser único y que &lt;label for&gt; se asocia al primer elemento con ese id.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  <w:lang w:val="en-US"/>
              </w:rPr>
              <w:t xml:space="preserve">Ejecuté CP-12 en la demo. Comprobé en DevTools que hay dos elementos con id="field-password". Busqué cada criterio WCAG en w3.org/WAI/WCAG22/quickref antes de escribirlo.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b/>
                <w:bCs/>
                <w:sz w:val="18"/>
                <w:szCs w:val="18"/>
              </w:rPr>
              <w:t xml:space="preserve"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  <w:lang w:val="en-US"/>
              </w:rPr>
              <w:t xml:space="preserve">Probar otra talla o color (el stock puede variar) y un producto con compra mínima mayor que 1: la demo no tiene uno. Quedan para la versión 2.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Lista de verificación antes de entregar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12 casos con precondición, pasos, datos y resultado esperado (mínimo 8).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Cada defecto con pasos, esperado, obtenido, severidad, prioridad, evidencia y casos vinculados.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3 hallazgos de accesibilidad y 1 de usabilidad, con criterio verificado en el W3C.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Casos y defectos visibles en Jira (proyecto PS, PS Sprint 1).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Sección de uso de IA completa.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Commit y push del documento en docs/ del repositorio.</w:t>
      </w:r>
    </w:p>
    <w:sectPr w:rsidR="00D3495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DED" w:rsidRDefault="00811DED">
      <w:r>
        <w:separator/>
      </w:r>
    </w:p>
  </w:endnote>
  <w:endnote w:type="continuationSeparator" w:id="0">
    <w:p w:rsidR="00811DED" w:rsidRDefault="0081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50" w:rsidRDefault="00A03E9D">
    <w:pPr>
      <w:jc w:val="center"/>
    </w:pPr>
    <w:r>
      <w:rPr>
        <w:color w:val="6B7680"/>
        <w:sz w:val="16"/>
        <w:szCs w:val="16"/>
      </w:rPr>
      <w:t xml:space="preserve">Dante Tárraga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DED" w:rsidRDefault="00811DED">
      <w:r>
        <w:separator/>
      </w:r>
    </w:p>
  </w:footnote>
  <w:footnote w:type="continuationSeparator" w:id="0">
    <w:p w:rsidR="00811DED" w:rsidRDefault="00811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50"/>
    <w:rsid w:val="00811DED"/>
    <w:rsid w:val="00A03E9D"/>
    <w:rsid w:val="00A630F4"/>
    <w:rsid w:val="00D34950"/>
    <w:rsid w:val="00E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301B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9" Type="http://schemas.openxmlformats.org/officeDocument/2006/relationships/hyperlink" Target="https://dantetarraga.atlassian.net/jira/software/projects/PS/boards/2" TargetMode="External"/><Relationship Id="rId210" Type="http://schemas.openxmlformats.org/officeDocument/2006/relationships/hyperlink" Target="https://dantetarraga.atlassian.net/browse/PS-5" TargetMode="External"/><Relationship Id="rId312" Type="http://schemas.openxmlformats.org/officeDocument/2006/relationships/hyperlink" Target="https://dantetarraga.atlassian.net/browse/PS-6" TargetMode="External"/><Relationship Id="rId415" Type="http://schemas.openxmlformats.org/officeDocument/2006/relationships/hyperlink" Target="https://dantetarraga.atlassian.net/browse/PS-7" TargetMode="External"/><Relationship Id="rId519" Type="http://schemas.openxmlformats.org/officeDocument/2006/relationships/hyperlink" Target="https://dantetarraga.atlassian.net/browse/PS-8" TargetMode="External"/><Relationship Id="rId624" Type="http://schemas.openxmlformats.org/officeDocument/2006/relationships/hyperlink" Target="https://dantetarraga.atlassian.net/browse/PS-9" TargetMode="External"/><Relationship Id="rId730" Type="http://schemas.openxmlformats.org/officeDocument/2006/relationships/hyperlink" Target="https://dantetarraga.atlassian.net/browse/PS-10" TargetMode="External"/><Relationship Id="rId837" Type="http://schemas.openxmlformats.org/officeDocument/2006/relationships/hyperlink" Target="https://dantetarraga.atlassian.net/browse/PS-11" TargetMode="External"/><Relationship Id="rId945" Type="http://schemas.openxmlformats.org/officeDocument/2006/relationships/hyperlink" Target="https://dantetarraga.atlassian.net/browse/PS-12" TargetMode="External"/><Relationship Id="rId1054" Type="http://schemas.openxmlformats.org/officeDocument/2006/relationships/hyperlink" Target="https://dantetarraga.atlassian.net/browse/PS-13" TargetMode="External"/><Relationship Id="rId1164" Type="http://schemas.openxmlformats.org/officeDocument/2006/relationships/hyperlink" Target="https://dantetarraga.atlassian.net/browse/PS-14" TargetMode="External"/><Relationship Id="rId1275" Type="http://schemas.openxmlformats.org/officeDocument/2006/relationships/hyperlink" Target="https://dantetarraga.atlassian.net/browse/PS-15" TargetMode="External"/><Relationship Id="rId1387" Type="http://schemas.openxmlformats.org/officeDocument/2006/relationships/hyperlink" Target="https://dantetarraga.atlassian.net/browse/PS-16" TargetMode="External"/><Relationship Id="rId1500" Type="http://schemas.openxmlformats.org/officeDocument/2006/relationships/hyperlink" Target="https://dantetarraga.atlassian.net/browse/PS-3" TargetMode="External"/><Relationship Id="rId1614" Type="http://schemas.openxmlformats.org/officeDocument/2006/relationships/hyperlink" Target="https://dantetarraga.atlassian.net/browse/PS-4" TargetMode="External"/><Relationship Id="rId1729" Type="http://schemas.openxmlformats.org/officeDocument/2006/relationships/hyperlink" Target="https://dantetarraga.atlassian.net/browse/PS-17" TargetMode="External"/><Relationship Id="rId1845" Type="http://schemas.openxmlformats.org/officeDocument/2006/relationships/hyperlink" Target="https://dantetarraga.atlassian.net/browse/PS-18" TargetMode="External"/><Relationship Id="rId1962" Type="http://schemas.openxmlformats.org/officeDocument/2006/relationships/hyperlink" Target="https://dantetarraga.atlassian.net/browse/PS-19" TargetMode="External"/><Relationship Id="rId2080" Type="http://schemas.openxmlformats.org/officeDocument/2006/relationships/hyperlink" Target="https://dantetarraga.atlassian.net/browse/PS-1" TargetMode="External"/><Relationship Id="rId2199" Type="http://schemas.openxmlformats.org/officeDocument/2006/relationships/hyperlink" Target="https://dantetarraga.atlassian.net/browse/PS-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1333</Words>
  <Characters>7333</Characters>
  <Application>Microsoft Office Word</Application>
  <DocSecurity>0</DocSecurity>
  <Lines>61</Lines>
  <Paragraphs>17</Paragraphs>
  <ScaleCrop>false</ScaleCrop>
  <Company>Interseguro Compañia de seguros S.A.</Company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manuales v1 — PrestaShop</dc:title>
  <dc:creator>Dante Tárraga</dc:creator>
  <cp:lastModifiedBy>Dante Tárraga</cp:lastModifiedBy>
  <cp:revision>3</cp:revision>
  <dcterms:created xsi:type="dcterms:W3CDTF">2026-10-12T23:19:00Z</dcterms:created>
  <dcterms:modified xsi:type="dcterms:W3CDTF">2026-10-14T22:00:00Z</dcterms:modified>
</cp:coreProperties>
</file>