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60"/>
      </w:pPr>
      <w:r>
        <w:rPr>
          <w:b/>
          <w:bCs/>
          <w:color w:val="00B1DF"/>
          <w:sz w:val="18"/>
          <w:szCs w:val="18"/>
        </w:rPr>
        <w:t xml:space="preserve">QA Automatizador · Semana 3 · Entregable</w:t>
      </w:r>
    </w:p>
    <w:p>
      <w:pPr>
        <w:spacing w:after="60"/>
      </w:pPr>
      <w:r>
        <w:rPr>
          <w:b/>
          <w:bCs/>
          <w:sz w:val="44"/>
          <w:szCs w:val="44"/>
        </w:rPr>
        <w:t xml:space="preserve">Matriz de trazabilidad v1</w:t>
      </w:r>
    </w:p>
    <w:p>
      <w:pPr>
        <w:spacing w:after="200"/>
      </w:pPr>
      <w:r>
        <w:rPr>
          <w:color w:val="3D4750"/>
          <w:sz w:val="24"/>
          <w:szCs w:val="24"/>
        </w:rPr>
        <w:t xml:space="preserve">Proyecto: PrestaShop 9.2.0 (demo.prestashop.com) · carrito y flujo de compra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00B1DF"/>
              <w:left w:val="single" w:sz="24" w:space="0" w:color="00B1DF"/>
              <w:bottom w:val="single" w:sz="4" w:space="0" w:color="00B1DF"/>
              <w:right w:val="single" w:sz="4" w:space="0" w:color="00B1DF"/>
            </w:tcBorders>
            <w:shd w:val="clear" w:color="auto" w:fill="E8F6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90" w:lineRule="auto"/>
            </w:pPr>
            <w:r>
              <w:rPr>
                <w:b/>
                <w:bCs/>
                <w:sz w:val="20"/>
                <w:szCs w:val="20"/>
              </w:rPr>
              <w:t xml:space="preserve">Resumen.</w:t>
            </w:r>
            <w:r>
              <w:rPr>
                <w:sz w:val="20"/>
                <w:szCs w:val="20"/>
              </w:rPr>
              <w:t xml:space="preserve"> Conecta </w:t>
            </w:r>
            <w:r>
              <w:rPr>
                <w:b/>
                <w:bCs/>
                <w:sz w:val="20"/>
                <w:szCs w:val="20"/>
              </w:rPr>
              <w:t xml:space="preserve">7 requisitos</w:t>
            </w:r>
            <w:r>
              <w:rPr>
                <w:sz w:val="20"/>
                <w:szCs w:val="20"/>
              </w:rPr>
              <w:t xml:space="preserve"> con sus casos de prueba y con los defectos hallados. 4 requisitos tienen casos ejecutados (cobertura </w:t>
            </w:r>
            <w:r>
              <w:rPr>
                <w:b/>
                <w:bCs/>
                <w:sz w:val="20"/>
                <w:szCs w:val="20"/>
              </w:rPr>
              <w:t xml:space="preserve">57 %</w:t>
            </w:r>
            <w:r>
              <w:rPr>
                <w:sz w:val="20"/>
                <w:szCs w:val="20"/>
              </w:rPr>
              <w:t xml:space="preserve">) y 3 quedan como huecos: compra completa (R4), cuenta (R6) y catálogo (R7). Los requisitos están inferidos de la pantalla porque la demo no publica un documento de requisitos.</w:t>
            </w:r>
          </w:p>
        </w:tc>
      </w:tr>
    </w:tbl>
    <w:p>
      <w:pPr>
        <w:spacing w:after="100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19 de octubre de 2026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Fuentes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Casos de prueba manuales v1 (CP-01 a CP-12), pruebas rápidas de accesibilidad 1 a 5 y Reporte de defectos v1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Estados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Pasó, Falló y Por ejecutar (escrito, sin ejecutar)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docs/Matriz de trazabilidad v1 — PrestaShop.docx (en el repositorio proyecto_final_Dante_Tarraga)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1. Matriz requisito → casos → defectos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60"/>
        <w:gridCol w:w="1300"/>
        <w:gridCol w:w="1500"/>
        <w:gridCol w:w="1100"/>
        <w:gridCol w:w="2300"/>
      </w:tblGrid>
      <w:tr>
        <w:trPr>
          <w:tblHeader/>
        </w:trPr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 (inferido)</w:t>
            </w:r>
          </w:p>
        </w:tc>
        <w:tc>
          <w:tcPr>
            <w:tcW w:w="1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w="1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Defectos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w="2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M04. El total del carrito es precio × cantidad para cualquier cantidad válida (1 a 300).</w:t>
            </w:r>
          </w:p>
        </w:tc>
        <w:tc>
          <w:tcPr>
            <w:tcW w:w="1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CP-01, CP-02, CP-03, CP-04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CP-01 pasó; CP-02 a CP-04 fallaron</w:t>
            </w:r>
          </w:p>
        </w:tc>
        <w:tc>
          <w:tcPr>
            <w:tcW w:w="1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DEF-01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El total usa €22.944 (precio con descuento sin redondear).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w="2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M04. El carrito no acepta cantidades fuera del rango 1 a 300 (0 o más que el stock).</w:t>
            </w:r>
          </w:p>
        </w:tc>
        <w:tc>
          <w:tcPr>
            <w:tcW w:w="1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CP-05, CP-06, CP-07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Los 3 pasaron</w:t>
            </w:r>
          </w:p>
        </w:tc>
        <w:tc>
          <w:tcPr>
            <w:tcW w:w="1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Probado en la ficha del producto y en el carrito.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w="2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M04. Ante una cantidad inválida (negativa, decimal, letras o vacía) el carrito no cambia el pedido sin avisar.</w:t>
            </w:r>
          </w:p>
        </w:tc>
        <w:tc>
          <w:tcPr>
            <w:tcW w:w="1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CP-08, CP-09, CP-10, CP-11, CP-12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Los 5 fallaron</w:t>
            </w:r>
          </w:p>
        </w:tc>
        <w:tc>
          <w:tcPr>
            <w:tcW w:w="1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DEF-02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CP-12 (007) salió de la revisión con IA.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w="2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M04 y M05. El cliente completa la compra: buscar, ver el detalle, agregar, iniciar sesión, checkout y confirmación.</w:t>
            </w:r>
          </w:p>
        </w:tc>
        <w:tc>
          <w:tcPr>
            <w:tcW w:w="1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SIN CASOS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Recorrido sin caso formal</w:t>
            </w:r>
          </w:p>
        </w:tc>
        <w:tc>
          <w:tcPr>
            <w:tcW w:w="1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HUECO DE COBERTURA.</w:t>
            </w:r>
            <w:r>
              <w:rPr>
                <w:sz w:val="18"/>
                <w:szCs w:val="18"/>
              </w:rPr>
              <w:t xml:space="preserve"> Se recorrió el 07-oct-2026 (pedido TCPDKGKBS, €31.34) para mapear endpoints, sin resultado esperado escrito.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w="2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M05. El checkout es utilizable con teclado y lector de pantalla (contraste, etiquetas y texto alternativo).</w:t>
            </w:r>
          </w:p>
        </w:tc>
        <w:tc>
          <w:tcPr>
            <w:tcW w:w="1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Pruebas rápidas 1 a 5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 y 5 pasaron; 2, 3 y 4 fallaron</w:t>
            </w:r>
          </w:p>
        </w:tc>
        <w:tc>
          <w:tcPr>
            <w:tcW w:w="1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A11Y-01, A11Y-02, A11Y-03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Lighthouse dio 100 y la revisión manual encontró 3 hallazgos.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R6</w:t>
            </w:r>
          </w:p>
        </w:tc>
        <w:tc>
          <w:tcPr>
            <w:tcW w:w="2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M01. El cliente crea una cuenta, inicia y cierra sesión, con validación de campos y mensajes claros.</w:t>
            </w:r>
          </w:p>
        </w:tc>
        <w:tc>
          <w:tcPr>
            <w:tcW w:w="1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SIN CASOS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Sin ejecutar</w:t>
            </w:r>
          </w:p>
        </w:tc>
        <w:tc>
          <w:tcPr>
            <w:tcW w:w="1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HUECO DE COBERTURA:</w:t>
            </w:r>
            <w:r>
              <w:rPr>
                <w:sz w:val="18"/>
                <w:szCs w:val="18"/>
              </w:rPr>
              <w:t xml:space="preserve"> módulo de prioridad alta. Lo cubre la sesión exploratoria 1.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R7</w:t>
            </w:r>
          </w:p>
        </w:tc>
        <w:tc>
          <w:tcPr>
            <w:tcW w:w="2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M02. El cliente encuentra un producto por búsqueda, categoría y filtros, y elige talla y color.</w:t>
            </w:r>
          </w:p>
        </w:tc>
        <w:tc>
          <w:tcPr>
            <w:tcW w:w="1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SIN CASOS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Sin ejecutar</w:t>
            </w:r>
          </w:p>
        </w:tc>
        <w:tc>
          <w:tcPr>
            <w:tcW w:w="1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HUECO DE COBERTURA:</w:t>
            </w:r>
            <w:r>
              <w:rPr>
                <w:sz w:val="18"/>
                <w:szCs w:val="18"/>
              </w:rPr>
              <w:t xml:space="preserve"> módulo de prioridad alta.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2. Qué muestra la matriz</w:t>
      </w:r>
    </w:p>
    <w:p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Huecos de cobertura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R6 (Log in y Sign up) y R7 (Catalog) no tienen casos. Son módulos de prioridad alta, así que son los huecos principales.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R4 no tiene un caso formal: la compra completa se recorrió para el mapa de flujos, pero sin pasos, datos y resultado esperado escritos.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R1 a R3 cubren un solo producto (Hummingbird printed t-shirt, S, blanco). Otra talla o color, o un producto con compra mínima mayor que 1, quedan para la v2.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No hay casos sin requisito: los 12 casos del carrito y las 5 pruebas de accesibilidad quedaron asociados.</w:t>
      </w:r>
    </w:p>
    <w:p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Impacto de los defectos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R3 concentra el defecto más grave (DEF-02, severidad alta): fallaron sus 5 casos. La validación de la cantidad es la parte más débil del carrito.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R1 tiene un defecto de cálculo (DEF-01) que crece con la cantidad (€1.20 de más con 300 unidades).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R5 tiene tres hallazgos de accesibilidad; el más grave (A11Y-02) está en el inicio de sesión del checkout, dentro del flujo crítico.</w:t>
      </w:r>
    </w:p>
    <w:p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Cobertura de requisitos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960"/>
        <w:gridCol w:w="1800"/>
      </w:tblGrid>
      <w:tr>
        <w:trPr>
          <w:tblHeader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w="3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Requisitos con al menos un caso</w:t>
            </w:r>
          </w:p>
        </w:tc>
        <w:tc>
          <w:tcPr>
            <w:tcW w:w="3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 de 7 (R1, R2, R3 y R5)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57 %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Requisitos con algún caso ejecutado</w:t>
            </w:r>
          </w:p>
        </w:tc>
        <w:tc>
          <w:tcPr>
            <w:tcW w:w="3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 de 7 (R1, R2, R3 y R5)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57 %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Requisitos sin casos</w:t>
            </w:r>
          </w:p>
        </w:tc>
        <w:tc>
          <w:tcPr>
            <w:tcW w:w="3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 de 7 (R4, R6 y R7)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43 %</w:t>
            </w:r>
          </w:p>
        </w:tc>
      </w:tr>
    </w:tbl>
    <w:p>
      <w:pPr>
        <w:spacing w:after="100"/>
      </w:pPr>
    </w:p>
    <w:p>
      <w:pPr>
        <w:spacing w:after="120" w:line="300" w:lineRule="auto"/>
      </w:pPr>
      <w:r>
        <w:rPr>
          <w:b/>
          <w:bCs/>
        </w:rPr>
        <w:t xml:space="preserve">Nota:</w:t>
      </w:r>
      <w:r>
        <w:rPr/>
        <w:t xml:space="preserve"> la cobertura mide presencia de casos, no su calidad. R1 a R3 tienen casos de clases de equivalencia y valores límite (0, 1, 2, 299, 300 y 301), pero de un solo producto; R5 tiene pruebas manuales rápidas, no una auditoría completa.</w:t>
      </w: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3. Acciones derivadas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460"/>
        <w:gridCol w:w="1800"/>
        <w:gridCol w:w="1400"/>
      </w:tblGrid>
      <w:tr>
        <w:trPr>
          <w:tblHeader/>
        </w:trPr>
        <w:tc>
          <w:tcPr>
            <w:tcW w:w="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Diseñar y ejecutar casos de cuenta e inicio de sesión para cubrir R6.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Diseñar y ejecutar casos de búsqueda, filtros y variantes para cubrir R7.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Escribir la compra completa como caso formal (R4) y ejecutarlo.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Repetir CP-02 y CP-11 con otra talla o color para ver si DEF-01 y DEF-02 dependen del producto.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Confirmar con el instructor si el contraste de los números de pasos del checkout (1.49 : 1) se reporta.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Cómo se mantiene la matriz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Se actualiza cada vez que cambia un requisito, se agrega un caso o aparece un defecto.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Los requisitos inferidos se anotan como tales.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Cada defecto va en la fila del requisito que incumple.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Los huecos se revisan antes de cerrar el ciclo de pruebas.</w:t>
      </w: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Lista de verificación antes de entregar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7 requisitos con ID y descripción (mínimo 5).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Cada caso asociado a un requisito, y cada requisito con sus casos o marcado «SIN CASOS».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Cada defecto asociado a su requisito.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Cobertura calculada con su fórmula y una nota sobre sus límites.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Archivo en el repositorio mediante rama y pull request.</w:t>
      </w:r>
    </w:p>
    <w:sectPr w:rsidR="00D34950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1DED" w:rsidRDefault="00811DED">
      <w:r>
        <w:separator/>
      </w:r>
    </w:p>
  </w:endnote>
  <w:endnote w:type="continuationSeparator" w:id="0">
    <w:p w:rsidR="00811DED" w:rsidRDefault="00811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4950" w:rsidRDefault="00A03E9D">
    <w:pPr>
      <w:jc w:val="center"/>
    </w:pPr>
    <w:r>
      <w:rPr>
        <w:color w:val="6B7680"/>
        <w:sz w:val="16"/>
        <w:szCs w:val="16"/>
      </w:rPr>
      <w:t xml:space="preserve">Dante Tárraga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630F4">
      <w:rPr>
        <w:noProof/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1DED" w:rsidRDefault="00811DED">
      <w:r>
        <w:separator/>
      </w:r>
    </w:p>
  </w:footnote>
  <w:footnote w:type="continuationSeparator" w:id="0">
    <w:p w:rsidR="00811DED" w:rsidRDefault="00811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B1540"/>
    <w:multiLevelType w:val="hybridMultilevel"/>
    <w:tmpl w:val="E3389C20"/>
    <w:lvl w:ilvl="0" w:tplc="DD524770">
      <w:start w:val="1"/>
      <w:numFmt w:val="bullet"/>
      <w:lvlText w:val="●"/>
      <w:lvlJc w:val="left"/>
      <w:pPr>
        <w:ind w:left="720" w:hanging="360"/>
      </w:pPr>
    </w:lvl>
    <w:lvl w:ilvl="1" w:tplc="0388AFCA">
      <w:start w:val="1"/>
      <w:numFmt w:val="bullet"/>
      <w:lvlText w:val="○"/>
      <w:lvlJc w:val="left"/>
      <w:pPr>
        <w:ind w:left="1440" w:hanging="360"/>
      </w:pPr>
    </w:lvl>
    <w:lvl w:ilvl="2" w:tplc="6E948136">
      <w:start w:val="1"/>
      <w:numFmt w:val="bullet"/>
      <w:lvlText w:val="■"/>
      <w:lvlJc w:val="left"/>
      <w:pPr>
        <w:ind w:left="2160" w:hanging="360"/>
      </w:pPr>
    </w:lvl>
    <w:lvl w:ilvl="3" w:tplc="90626C6E">
      <w:start w:val="1"/>
      <w:numFmt w:val="bullet"/>
      <w:lvlText w:val="●"/>
      <w:lvlJc w:val="left"/>
      <w:pPr>
        <w:ind w:left="2880" w:hanging="360"/>
      </w:pPr>
    </w:lvl>
    <w:lvl w:ilvl="4" w:tplc="44BAE1EA">
      <w:start w:val="1"/>
      <w:numFmt w:val="bullet"/>
      <w:lvlText w:val="○"/>
      <w:lvlJc w:val="left"/>
      <w:pPr>
        <w:ind w:left="3600" w:hanging="360"/>
      </w:pPr>
    </w:lvl>
    <w:lvl w:ilvl="5" w:tplc="755E311A">
      <w:start w:val="1"/>
      <w:numFmt w:val="bullet"/>
      <w:lvlText w:val="■"/>
      <w:lvlJc w:val="left"/>
      <w:pPr>
        <w:ind w:left="4320" w:hanging="360"/>
      </w:pPr>
    </w:lvl>
    <w:lvl w:ilvl="6" w:tplc="FACE6DA4">
      <w:start w:val="1"/>
      <w:numFmt w:val="bullet"/>
      <w:lvlText w:val="●"/>
      <w:lvlJc w:val="left"/>
      <w:pPr>
        <w:ind w:left="5040" w:hanging="360"/>
      </w:pPr>
    </w:lvl>
    <w:lvl w:ilvl="7" w:tplc="B3BA8A44">
      <w:start w:val="1"/>
      <w:numFmt w:val="bullet"/>
      <w:lvlText w:val="●"/>
      <w:lvlJc w:val="left"/>
      <w:pPr>
        <w:ind w:left="5760" w:hanging="360"/>
      </w:pPr>
    </w:lvl>
    <w:lvl w:ilvl="8" w:tplc="F5E4C3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276BCD"/>
    <w:multiLevelType w:val="hybridMultilevel"/>
    <w:tmpl w:val="E22A1072"/>
    <w:lvl w:ilvl="0" w:tplc="61A6904A">
      <w:start w:val="1"/>
      <w:numFmt w:val="bullet"/>
      <w:lvlText w:val="•"/>
      <w:lvlJc w:val="left"/>
      <w:pPr>
        <w:ind w:left="540" w:hanging="270"/>
      </w:pPr>
    </w:lvl>
    <w:lvl w:ilvl="1" w:tplc="D53CE4C0">
      <w:numFmt w:val="decimal"/>
      <w:lvlText w:val=""/>
      <w:lvlJc w:val="left"/>
    </w:lvl>
    <w:lvl w:ilvl="2" w:tplc="28187206">
      <w:numFmt w:val="decimal"/>
      <w:lvlText w:val=""/>
      <w:lvlJc w:val="left"/>
    </w:lvl>
    <w:lvl w:ilvl="3" w:tplc="DD466EDA">
      <w:numFmt w:val="decimal"/>
      <w:lvlText w:val=""/>
      <w:lvlJc w:val="left"/>
    </w:lvl>
    <w:lvl w:ilvl="4" w:tplc="FA72AA20">
      <w:numFmt w:val="decimal"/>
      <w:lvlText w:val=""/>
      <w:lvlJc w:val="left"/>
    </w:lvl>
    <w:lvl w:ilvl="5" w:tplc="1F8A5DA6">
      <w:numFmt w:val="decimal"/>
      <w:lvlText w:val=""/>
      <w:lvlJc w:val="left"/>
    </w:lvl>
    <w:lvl w:ilvl="6" w:tplc="2B7EDAD6">
      <w:numFmt w:val="decimal"/>
      <w:lvlText w:val=""/>
      <w:lvlJc w:val="left"/>
    </w:lvl>
    <w:lvl w:ilvl="7" w:tplc="F378C50C">
      <w:numFmt w:val="decimal"/>
      <w:lvlText w:val=""/>
      <w:lvlJc w:val="left"/>
    </w:lvl>
    <w:lvl w:ilvl="8" w:tplc="0E3EA5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950"/>
    <w:rsid w:val="00811DED"/>
    <w:rsid w:val="00A03E9D"/>
    <w:rsid w:val="00A630F4"/>
    <w:rsid w:val="00D34950"/>
    <w:rsid w:val="00E7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301B"/>
  <w15:docId w15:val="{9D2D13EF-2F72-4F0F-9536-5B8516CC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1333</Words>
  <Characters>7333</Characters>
  <Application>Microsoft Office Word</Application>
  <DocSecurity>0</DocSecurity>
  <Lines>61</Lines>
  <Paragraphs>17</Paragraphs>
  <ScaleCrop>false</ScaleCrop>
  <Company>Interseguro Compañia de seguros S.A.</Company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 Tárraga</dc:creator>
  <cp:lastModifiedBy>Dante Tárraga</cp:lastModifiedBy>
  <cp:revision>3</cp:revision>
  <dcterms:created xsi:type="dcterms:W3CDTF">2026-10-12T23:19:00Z</dcterms:created>
  <dcterms:modified xsi:type="dcterms:W3CDTF">2026-10-14T22:00:00Z</dcterms:modified>
</cp:coreProperties>
</file>