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after="60"/>
      </w:pPr>
      <w:r>
        <w:rPr>
          <w:b/>
          <w:bCs/>
          <w:color w:val="00B1DF"/>
          <w:sz w:val="18"/>
          <w:szCs w:val="18"/>
        </w:rPr>
        <w:t xml:space="preserve">QA Automatizador · Semana 3 · Entregable</w:t>
      </w:r>
    </w:p>
    <w:p>
      <w:pPr>
        <w:spacing w:after="60"/>
      </w:pPr>
      <w:r>
        <w:rPr>
          <w:b/>
          <w:bCs/>
          <w:sz w:val="44"/>
          <w:szCs w:val="44"/>
        </w:rPr>
        <w:t xml:space="preserve">Reporte de defectos v1</w:t>
      </w:r>
    </w:p>
    <w:p>
      <w:pPr>
        <w:spacing w:after="200"/>
      </w:pPr>
      <w:r>
        <w:rPr>
          <w:color w:val="3D4750"/>
          <w:sz w:val="24"/>
          <w:szCs w:val="24"/>
        </w:rPr>
        <w:t xml:space="preserve">Proyecto: PrestaShop 9.2.0 (demo.prestashop.com) · carrito y flujo de compra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tcBorders>
              <w:top w:val="single" w:sz="4" w:space="0" w:color="00B1DF"/>
              <w:left w:val="single" w:sz="24" w:space="0" w:color="00B1DF"/>
              <w:bottom w:val="single" w:sz="4" w:space="0" w:color="00B1DF"/>
              <w:right w:val="single" w:sz="4" w:space="0" w:color="00B1DF"/>
            </w:tcBorders>
            <w:shd w:val="clear" w:color="auto" w:fill="E8F6FB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90" w:lineRule="auto"/>
            </w:pPr>
            <w:r>
              <w:rPr>
                <w:b/>
                <w:bCs/>
                <w:sz w:val="20"/>
                <w:szCs w:val="20"/>
              </w:rPr>
              <w:t xml:space="preserve">Resumen.</w:t>
            </w:r>
            <w:r>
              <w:rPr>
                <w:sz w:val="20"/>
                <w:szCs w:val="20"/>
              </w:rPr>
              <w:t xml:space="preserve"> Reúne </w:t>
            </w:r>
            <w:r>
              <w:rPr>
                <w:b/>
                <w:bCs/>
                <w:sz w:val="20"/>
                <w:szCs w:val="20"/>
              </w:rPr>
              <w:t xml:space="preserve">5 defectos</w:t>
            </w:r>
            <w:r>
              <w:rPr>
                <w:sz w:val="20"/>
                <w:szCs w:val="20"/>
              </w:rPr>
              <w:t xml:space="preserve"> del carrito y del checkout: 2 funcionales (DEF-01 y DEF-02) y 3 de accesibilidad (A11Y-01 a A11Y-03). Todos se reprodujeron en la demo y están registrados en Jira: </w:t>
            </w:r>
            <w:hyperlink r:id="rIdL1">
              <w:r>
                <w:rPr>
                  <w:color w:val="0B69C7"/>
                  <w:sz w:val="20"/>
                  <w:szCs w:val="20"/>
                  <w:u w:val="single"/>
                </w:rPr>
                <w:t xml:space="preserve">tablero del proyecto PS</w:t>
              </w:r>
            </w:hyperlink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Autor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Fecha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19 de octubre de 2026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Datos base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Hummingbird printed t-shirt, talla S, color blanco (€22.94; stock 300; compra mínima 1)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Navegador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Chrome 155 (escritorio)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docs/Reporte de defectos v1 — PrestaShop.docx (en el repositorio proyecto_final_Dante_Tarraga)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1. Resumen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3460"/>
        <w:gridCol w:w="1250"/>
        <w:gridCol w:w="1150"/>
        <w:gridCol w:w="900"/>
        <w:gridCol w:w="700"/>
        <w:gridCol w:w="900"/>
      </w:tblGrid>
      <w:tr>
        <w:trPr>
          <w:tblHeader/>
        </w:trPr>
        <w:tc>
          <w:tcPr>
            <w:tcW w:w="10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w="3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Título</w:t>
            </w:r>
          </w:p>
        </w:tc>
        <w:tc>
          <w:tcPr>
            <w:tcW w:w="125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Severidad</w:t>
            </w:r>
          </w:p>
        </w:tc>
        <w:tc>
          <w:tcPr>
            <w:tcW w:w="115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w="9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Req.</w:t>
            </w:r>
          </w:p>
        </w:tc>
        <w:tc>
          <w:tcPr>
            <w:tcW w:w="9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Jira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DEF-01</w:t>
            </w:r>
          </w:p>
        </w:tc>
        <w:tc>
          <w:tcPr>
            <w:tcW w:w="3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total no coincide con precio × cantidad</w:t>
            </w:r>
          </w:p>
        </w:tc>
        <w:tc>
          <w:tcPr>
            <w:tcW w:w="125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Media</w:t>
            </w:r>
          </w:p>
        </w:tc>
        <w:tc>
          <w:tcPr>
            <w:tcW w:w="115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Alta</w:t>
            </w:r>
          </w:p>
        </w:tc>
        <w:tc>
          <w:tcPr>
            <w:tcW w:w="9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Nuevo</w:t>
            </w:r>
          </w:p>
        </w:tc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R1</w:t>
            </w:r>
          </w:p>
        </w:tc>
        <w:tc>
          <w:tcPr>
            <w:tcW w:w="9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PS-3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DEF-02</w:t>
            </w:r>
          </w:p>
        </w:tc>
        <w:tc>
          <w:tcPr>
            <w:tcW w:w="3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Al borrar la cantidad aparece un 1 y lo que se escribe se suma detrás</w:t>
            </w:r>
          </w:p>
        </w:tc>
        <w:tc>
          <w:tcPr>
            <w:tcW w:w="125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Alta</w:t>
            </w:r>
          </w:p>
        </w:tc>
        <w:tc>
          <w:tcPr>
            <w:tcW w:w="115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Alta</w:t>
            </w:r>
          </w:p>
        </w:tc>
        <w:tc>
          <w:tcPr>
            <w:tcW w:w="9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Nuevo</w:t>
            </w:r>
          </w:p>
        </w:tc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R3</w:t>
            </w:r>
          </w:p>
        </w:tc>
        <w:tc>
          <w:tcPr>
            <w:tcW w:w="9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PS-4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A11Y-01</w:t>
            </w:r>
          </w:p>
        </w:tc>
        <w:tc>
          <w:tcPr>
            <w:tcW w:w="3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bordes de los campos y de los radio buttons casi no se ven</w:t>
            </w:r>
          </w:p>
        </w:tc>
        <w:tc>
          <w:tcPr>
            <w:tcW w:w="125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Media</w:t>
            </w:r>
          </w:p>
        </w:tc>
        <w:tc>
          <w:tcPr>
            <w:tcW w:w="115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Media</w:t>
            </w:r>
          </w:p>
        </w:tc>
        <w:tc>
          <w:tcPr>
            <w:tcW w:w="9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Nuevo</w:t>
            </w:r>
          </w:p>
        </w:tc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R5</w:t>
            </w:r>
          </w:p>
        </w:tc>
        <w:tc>
          <w:tcPr>
            <w:tcW w:w="9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PS-17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A11Y-02</w:t>
            </w:r>
          </w:p>
        </w:tc>
        <w:tc>
          <w:tcPr>
            <w:tcW w:w="3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campo contraseña de «Sign in» en el checkout no tiene nombre</w:t>
            </w:r>
          </w:p>
        </w:tc>
        <w:tc>
          <w:tcPr>
            <w:tcW w:w="125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Alta</w:t>
            </w:r>
          </w:p>
        </w:tc>
        <w:tc>
          <w:tcPr>
            <w:tcW w:w="115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Alta</w:t>
            </w:r>
          </w:p>
        </w:tc>
        <w:tc>
          <w:tcPr>
            <w:tcW w:w="9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Nuevo</w:t>
            </w:r>
          </w:p>
        </w:tc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R5</w:t>
            </w:r>
          </w:p>
        </w:tc>
        <w:tc>
          <w:tcPr>
            <w:tcW w:w="9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PS-18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A11Y-03</w:t>
            </w:r>
          </w:p>
        </w:tc>
        <w:tc>
          <w:tcPr>
            <w:tcW w:w="3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íconos de garantías se leen con el nombre del archivo</w:t>
            </w:r>
          </w:p>
        </w:tc>
        <w:tc>
          <w:tcPr>
            <w:tcW w:w="125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Baja</w:t>
            </w:r>
          </w:p>
        </w:tc>
        <w:tc>
          <w:tcPr>
            <w:tcW w:w="115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Baja</w:t>
            </w:r>
          </w:p>
        </w:tc>
        <w:tc>
          <w:tcPr>
            <w:tcW w:w="9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Nuevo</w:t>
            </w:r>
          </w:p>
        </w:tc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R5</w:t>
            </w:r>
          </w:p>
        </w:tc>
        <w:tc>
          <w:tcPr>
            <w:tcW w:w="9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PS-19</w:t>
            </w:r>
          </w:p>
        </w:tc>
      </w:tr>
    </w:tbl>
    <w:p>
      <w:pPr>
        <w:spacing w:after="100"/>
      </w:pPr>
    </w:p>
    <w:p>
      <w:pPr>
        <w:spacing w:after="120" w:line="300" w:lineRule="auto"/>
      </w:pPr>
      <w:r>
        <w:rPr/>
        <w:t xml:space="preserve">Severidad (impacto) y prioridad (urgencia) son propuestas del autor, cada una con su justificación en el detalle. «Nuevo» corresponde al estado «Por hacer» de Jira. Los requisitos (R1 a R7) están en la Matriz de trazabilidad v1.</w:t>
      </w: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2. Detalle de los defectos</w:t>
      </w:r>
    </w:p>
    <w:p>
      <w:pPr>
        <w:pStyle w:val="Ttulo2"/>
        <w:spacing w:before="220" w:after="100"/>
      </w:pPr>
      <w:r>
        <w:rPr>
          <w:b/>
          <w:bCs/>
          <w:color w:val="3D4750"/>
          <w:sz w:val="24"/>
          <w:szCs w:val="24"/>
        </w:rPr>
        <w:t xml:space="preserve">DEF-01 · El total no coincide con precio × cantidad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Encontrado en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CP-02, CP-03 y CP-04. Observado el 9 de octubre de 2026 en miniature-railway.demo.prestashop.com.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Pasos para reproducir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1) Agregar la Hummingbird printed t-shirt (S, blanco, €22.94) al carrito. 2) En el carrito, cambiar la cantidad a 2 y pulsar Enter. 3) Leer el total.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€45.88 (2 × €22.94).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€45.89. Con 299 unidades €6,860.26 (esperado €6,859.06) y con 300 unidades €6,883.20 (esperado €6,882.00).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Evidencia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docs/evidencias/DEF-M04-001-total-2-unidades.png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Severidad / prioridad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Media / alta. El cliente paga más de lo que ve en el precio unitario; la diferencia crece con la cantidad y afecta la confianza en el cobro.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Requisito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R1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Nota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Parece que calcula con €22.944 (20 % de descuento sobre €28.68 sin redondear) y en pantalla muestra €22.94. Es una hipótesis: no hay acceso al código.</w:t>
            </w:r>
          </w:p>
        </w:tc>
      </w:tr>
    </w:tbl>
    <w:p>
      <w:pPr>
        <w:spacing w:after="100"/>
      </w:pPr>
    </w:p>
    <w:p>
      <w:pPr>
        <w:pStyle w:val="Ttulo2"/>
        <w:spacing w:before="220" w:after="100"/>
      </w:pPr>
      <w:r>
        <w:rPr>
          <w:b/>
          <w:bCs/>
          <w:color w:val="3D4750"/>
          <w:sz w:val="24"/>
          <w:szCs w:val="24"/>
        </w:rPr>
        <w:t xml:space="preserve">DEF-02 · Al borrar la cantidad aparece un 1 y lo que se escribe se suma detrás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Encontrado en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CP-08 a CP-12. Observado el 9 de octubre de 2026 en miniature-railway.demo.prestashop.com.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Pasos para reproducir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1) Con la camiseta en el carrito, seleccionar la cantidad y borrarla. 2) Escribir 7. 3) Pulsar Enter.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 unidades.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Al borrar, el campo pone 1 solo y queda 17. Lo mismo con -1 (11), 1.5 (15) y 007 (107). Con «abc» el carrito baja a 1. No sale ningún mensaje.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Evidencia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docs/evidencias/DEF-M04-002-cantidad-17.png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Severidad / prioridad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Alta / alta. El carrito cambia la cantidad sin avisar y el cliente puede comprar 10 veces más unidades de las que quería.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Requisito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R3</w:t>
            </w:r>
          </w:p>
        </w:tc>
      </w:tr>
    </w:tbl>
    <w:p>
      <w:pPr>
        <w:spacing w:after="100"/>
      </w:pPr>
    </w:p>
    <w:p>
      <w:pPr>
        <w:pStyle w:val="Ttulo2"/>
        <w:spacing w:before="220" w:after="100"/>
      </w:pPr>
      <w:r>
        <w:rPr>
          <w:b/>
          <w:bCs/>
          <w:color w:val="3D4750"/>
          <w:sz w:val="24"/>
          <w:szCs w:val="24"/>
        </w:rPr>
        <w:t xml:space="preserve">A11Y-01 · Los bordes de los campos y de los radio buttons casi no se ven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Encontrado en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 rápida 2 (contraste). Observado el 14 de octubre de 2026 en stormy-flock.demo.prestashop.com.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Pasos para reproducir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1) Agregar un producto e ir al checkout. 2) En «Order as a guest», medir con DevTools el color del borde de First name, Last name, Email, Birthdate y Mr./Mrs. contra el fondo.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Bordes con al menos 3 : 1 contra el fondo blanco (WCAG 1.4.11 Contraste sin texto).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Borde rgb(222, 226, 230) sobre blanco = 1.3 : 1.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Afecta a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Personas con baja visión: no distinguen dónde está el campo ni si el radio está marcado.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Evidencia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docs/evidencias/A11Y-01-bordes-campos-checkout.png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Severidad / prioridad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Media / media. Dificulta llenar el formulario, pero no lo impide.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Requisito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R5</w:t>
            </w:r>
          </w:p>
        </w:tc>
      </w:tr>
    </w:tbl>
    <w:p>
      <w:pPr>
        <w:spacing w:after="100"/>
      </w:pPr>
    </w:p>
    <w:p>
      <w:pPr>
        <w:pStyle w:val="Ttulo2"/>
        <w:spacing w:before="220" w:after="100"/>
      </w:pPr>
      <w:r>
        <w:rPr>
          <w:b/>
          <w:bCs/>
          <w:color w:val="3D4750"/>
          <w:sz w:val="24"/>
          <w:szCs w:val="24"/>
        </w:rPr>
        <w:t xml:space="preserve">A11Y-02 · El campo contraseña de «Sign in» en el checkout no tiene nombre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Encontrado en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 rápida 4 (formularios). Observado el 14 de octubre de 2026 en stormy-flock.demo.prestashop.com.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Pasos para reproducir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1) Con productos en el carrito, ir al checkout. 2) Abrir la pestaña «Sign in». 3) Revisar el campo Password en el árbol de accesibilidad de DevTools o con un lector de pantalla.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lector anuncia «Password, required» (WCAG 3.3.2 Etiquetas o instrucciones; 4.1.2 Nombre, función, valor).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lector anuncia solo «edit, required». La etiqueta usa for="field-password", pero ese id ya lo tiene la contraseña oculta del formulario de invitado. Hacer clic en «Password» no pone el cursor en el campo.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Afecta a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Personas que usan lector de pantalla y quienes hacen clic en la etiqueta.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Evidencia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docs/evidencias/A11Y-02-login-password-sin-etiqueta.png. Árbol de accesibilidad: textbox "Email" required → textbox required → button "Show password".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Severidad / prioridad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Alta / alta. Está en el inicio de sesión del checkout, dentro del flujo crítico de compra.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Requisito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R5</w:t>
            </w:r>
          </w:p>
        </w:tc>
      </w:tr>
    </w:tbl>
    <w:p>
      <w:pPr>
        <w:spacing w:after="100"/>
      </w:pPr>
    </w:p>
    <w:p>
      <w:pPr>
        <w:pStyle w:val="Ttulo2"/>
        <w:spacing w:before="220" w:after="100"/>
      </w:pPr>
      <w:r>
        <w:rPr>
          <w:b/>
          <w:bCs/>
          <w:color w:val="3D4750"/>
          <w:sz w:val="24"/>
          <w:szCs w:val="24"/>
        </w:rPr>
        <w:t xml:space="preserve">A11Y-03 · Los íconos de garantías se leen con el nombre del archivo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Encontrado en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 rápida 3 (texto alternativo). Observado el 14 de octubre de 2026 en stormy-flock.demo.prestashop.com.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Pasos para reproducir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1) Ir al checkout. 2) Revisar los íconos de Security, Delivery y Return policy (columna derecha) en el árbol de accesibilidad de DevTools.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Como el texto ya está al lado, el ícono es decorativo y el lector lo ignora (alt="" o aria-hidden) (WCAG 1.1.1 Contenido no textual).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lector dice «pack2_security, imagen, Created with Sketch.»; lo mismo con pack2_carrier y pack2_parcel.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Afecta a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Personas que usan lector de pantalla: escuchan ruido sin información.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Evidencia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Árbol de accesibilidad de DevTools: image "pack2_security" description="Created with Sketch."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Severidad / prioridad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Baja / baja. Es ruido, no bloquea la compra.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Requisito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R5</w:t>
            </w:r>
          </w:p>
        </w:tc>
      </w:tr>
    </w:tbl>
    <w:p>
      <w:pPr>
        <w:spacing w:after="100"/>
      </w:pPr>
    </w:p>
    <w:p>
      <w:pPr>
        <w:pStyle w:val="Ttulo2"/>
        <w:spacing w:before="220" w:after="100"/>
      </w:pPr>
      <w:r>
        <w:rPr>
          <w:b/>
          <w:bCs/>
          <w:color w:val="3D4750"/>
          <w:sz w:val="24"/>
          <w:szCs w:val="24"/>
        </w:rPr>
        <w:t xml:space="preserve">Por confirmar (no se reportan como defecto)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Los números 2, 3 y 4 de los pasos del checkout son blancos sobre gris claro (1.49 : 1). WCAG excluye los controles inactivos, pero el número informa el progreso. Se confirma con el instructor. Evidencia: docs/evidencias/A11Y-obs-contraste-pasos-y-error-login.png.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Con 1 unidad, el botón «−» elimina el producto del carrito sin pedir confirmación. Puede ser una decisión de diseño (riesgo R03 del alcance).</w:t>
      </w: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3. Un hallazgo, dos versiones (DEF-02)</w:t>
      </w:r>
    </w:p>
    <w:p>
      <w:pPr>
        <w:spacing w:after="120" w:line="300" w:lineRule="auto"/>
      </w:pPr>
      <w:r>
        <w:rPr/>
        <w:t xml:space="preserve">El mismo defecto se comunica distinto según quién lo lee.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Equipo técnico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Título:</w:t>
            </w:r>
            <w:r>
              <w:rPr>
                <w:sz w:val="18"/>
                <w:szCs w:val="18"/>
              </w:rPr>
              <w:t xml:space="preserve"> la cantidad del carrito se concatena con un 1 al borrarla.</w:t>
            </w:r>
          </w:p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Pasos:</w:t>
            </w:r>
            <w:r>
              <w:rPr>
                <w:sz w:val="18"/>
                <w:szCs w:val="18"/>
              </w:rPr>
              <w:t xml:space="preserve"> 1) camiseta en el carrito; 2) seleccionar la cantidad y borrarla; 3) escribir 7 y pulsar Enter.</w:t>
            </w:r>
          </w:p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Esperado:</w:t>
            </w:r>
            <w:r>
              <w:rPr>
                <w:sz w:val="18"/>
                <w:szCs w:val="18"/>
              </w:rPr>
              <w:t xml:space="preserve"> 7 unidades. </w:t>
            </w:r>
            <w:r>
              <w:rPr>
                <w:b/>
                <w:bCs/>
                <w:sz w:val="18"/>
                <w:szCs w:val="18"/>
              </w:rPr>
              <w:t xml:space="preserve">Obtenido:</w:t>
            </w:r>
            <w:r>
              <w:rPr>
                <w:sz w:val="18"/>
                <w:szCs w:val="18"/>
              </w:rPr>
              <w:t xml:space="preserve"> 17 unidades, sin mensaje. Mismo patrón con -1 (11), 1.5 (15) y 007 (107); con «abc» baja a 1.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Quien decide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Cuando el cliente corrige la cantidad en el carrito, la tienda puede guardarle 10 veces más unidades de las que escribió y no le avisa. Si no lo nota en el resumen, paga de más y luego pide una devolución o deja de confiar en la tienda. Se recomienda corregir el campo antes de cualquier campaña de ventas.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4. Mejora de un reporte con IA (Nivel 2)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Qué pedí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«Actúa como revisor de calidad. Aquí está mi reporte de DEF-02. Dime qué información falta para reproducirlo, qué frases son ambiguas y si el título describe el problema. No inventes datos; si algo falta, pregunta.» [reporte de DEF-02 pegado]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Qué adopté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Agregar la instancia y la fecha en «Encontrado en», porque cada visita a la demo crea una instancia distinta. Cambiar el título «El campo cantidad falla» por uno que dice qué pasa («aparece un 1 y lo que se escribe se suma detrás»). Poner entre paréntesis el resultado de cada valor (-1 → 11, 1.5 → 15, 007 → 107).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Qué rechacé y por qué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IA propuso que la causa era el evento de JavaScript que actualiza el campo: no lo verifiqué y no tengo acceso al código, así que no lo escribí. También propuso severidad crítica: la dejé en alta porque la compra no se bloquea y la cantidad se ve en el resumen antes de pagar.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Cómo verifiqué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Repetí los pasos del reporte ya mejorado en una instancia nueva de la demo y obtuve de nuevo 17 unidades al escribir 7.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Lista de verificación antes de entregar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5 defectos, cada uno reproducido desde cero.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Cada defecto con pasos, esperado, obtenido, evidencia, severidad, prioridad y requisito.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Los hallazgos sin confirmar marcados «por confirmar».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Un hallazgo escrito en versión técnica y en versión para quien decide (DEF-02).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Uso de IA documentado con lo que se adoptó y lo que se rechazó.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Archivo en el repositorio mediante rama y pull request.</w:t>
      </w:r>
    </w:p>
    <w:sectPr w:rsidR="00D34950">
      <w:footerReference w:type="default" r:id="rId7"/>
      <w:pgSz w:w="12240" w:h="15840"/>
      <w:pgMar w:top="12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1DED" w:rsidRDefault="00811DED">
      <w:r>
        <w:separator/>
      </w:r>
    </w:p>
  </w:endnote>
  <w:endnote w:type="continuationSeparator" w:id="0">
    <w:p w:rsidR="00811DED" w:rsidRDefault="00811D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34950" w:rsidRDefault="00A03E9D">
    <w:pPr>
      <w:jc w:val="center"/>
    </w:pPr>
    <w:r>
      <w:rPr>
        <w:color w:val="6B7680"/>
        <w:sz w:val="16"/>
        <w:szCs w:val="16"/>
      </w:rPr>
      <w:t xml:space="preserve">Dante Tárraga · QA </w:t>
    </w:r>
    <w:proofErr w:type="spellStart"/>
    <w:r>
      <w:rPr>
        <w:color w:val="6B7680"/>
        <w:sz w:val="16"/>
        <w:szCs w:val="16"/>
      </w:rPr>
      <w:t>Automatizador</w:t>
    </w:r>
    <w:proofErr w:type="spellEnd"/>
    <w:r>
      <w:rPr>
        <w:color w:val="6B7680"/>
        <w:sz w:val="16"/>
        <w:szCs w:val="16"/>
      </w:rPr>
      <w:t xml:space="preserve"> · </w:t>
    </w:r>
    <w:proofErr w:type="spellStart"/>
    <w:r>
      <w:rPr>
        <w:color w:val="6B7680"/>
        <w:sz w:val="16"/>
        <w:szCs w:val="16"/>
      </w:rPr>
      <w:t>Tecsup</w:t>
    </w:r>
    <w:proofErr w:type="spellEnd"/>
    <w:r>
      <w:rPr>
        <w:color w:val="6B7680"/>
        <w:sz w:val="16"/>
        <w:szCs w:val="16"/>
      </w:rPr>
      <w:t xml:space="preserve"> Virtual · Página </w:t>
    </w:r>
    <w:r>
      <w:rPr>
        <w:color w:val="6B7680"/>
        <w:sz w:val="16"/>
        <w:szCs w:val="16"/>
      </w:rPr>
      <w:fldChar w:fldCharType="begin"/>
    </w:r>
    <w:r>
      <w:rPr>
        <w:color w:val="6B7680"/>
        <w:sz w:val="16"/>
        <w:szCs w:val="16"/>
      </w:rPr>
      <w:instrText>PAGE</w:instrText>
    </w:r>
    <w:r>
      <w:rPr>
        <w:color w:val="6B7680"/>
        <w:sz w:val="16"/>
        <w:szCs w:val="16"/>
      </w:rPr>
      <w:fldChar w:fldCharType="separate"/>
    </w:r>
    <w:r w:rsidR="00A630F4">
      <w:rPr>
        <w:noProof/>
        <w:color w:val="6B7680"/>
        <w:sz w:val="16"/>
        <w:szCs w:val="16"/>
      </w:rPr>
      <w:t>5</w:t>
    </w:r>
    <w:r>
      <w:rPr>
        <w:color w:val="6B76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1DED" w:rsidRDefault="00811DED">
      <w:r>
        <w:separator/>
      </w:r>
    </w:p>
  </w:footnote>
  <w:footnote w:type="continuationSeparator" w:id="0">
    <w:p w:rsidR="00811DED" w:rsidRDefault="00811D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55B1540"/>
    <w:multiLevelType w:val="hybridMultilevel"/>
    <w:tmpl w:val="E3389C20"/>
    <w:lvl w:ilvl="0" w:tplc="DD524770">
      <w:start w:val="1"/>
      <w:numFmt w:val="bullet"/>
      <w:lvlText w:val="●"/>
      <w:lvlJc w:val="left"/>
      <w:pPr>
        <w:ind w:left="720" w:hanging="360"/>
      </w:pPr>
    </w:lvl>
    <w:lvl w:ilvl="1" w:tplc="0388AFCA">
      <w:start w:val="1"/>
      <w:numFmt w:val="bullet"/>
      <w:lvlText w:val="○"/>
      <w:lvlJc w:val="left"/>
      <w:pPr>
        <w:ind w:left="1440" w:hanging="360"/>
      </w:pPr>
    </w:lvl>
    <w:lvl w:ilvl="2" w:tplc="6E948136">
      <w:start w:val="1"/>
      <w:numFmt w:val="bullet"/>
      <w:lvlText w:val="■"/>
      <w:lvlJc w:val="left"/>
      <w:pPr>
        <w:ind w:left="2160" w:hanging="360"/>
      </w:pPr>
    </w:lvl>
    <w:lvl w:ilvl="3" w:tplc="90626C6E">
      <w:start w:val="1"/>
      <w:numFmt w:val="bullet"/>
      <w:lvlText w:val="●"/>
      <w:lvlJc w:val="left"/>
      <w:pPr>
        <w:ind w:left="2880" w:hanging="360"/>
      </w:pPr>
    </w:lvl>
    <w:lvl w:ilvl="4" w:tplc="44BAE1EA">
      <w:start w:val="1"/>
      <w:numFmt w:val="bullet"/>
      <w:lvlText w:val="○"/>
      <w:lvlJc w:val="left"/>
      <w:pPr>
        <w:ind w:left="3600" w:hanging="360"/>
      </w:pPr>
    </w:lvl>
    <w:lvl w:ilvl="5" w:tplc="755E311A">
      <w:start w:val="1"/>
      <w:numFmt w:val="bullet"/>
      <w:lvlText w:val="■"/>
      <w:lvlJc w:val="left"/>
      <w:pPr>
        <w:ind w:left="4320" w:hanging="360"/>
      </w:pPr>
    </w:lvl>
    <w:lvl w:ilvl="6" w:tplc="FACE6DA4">
      <w:start w:val="1"/>
      <w:numFmt w:val="bullet"/>
      <w:lvlText w:val="●"/>
      <w:lvlJc w:val="left"/>
      <w:pPr>
        <w:ind w:left="5040" w:hanging="360"/>
      </w:pPr>
    </w:lvl>
    <w:lvl w:ilvl="7" w:tplc="B3BA8A44">
      <w:start w:val="1"/>
      <w:numFmt w:val="bullet"/>
      <w:lvlText w:val="●"/>
      <w:lvlJc w:val="left"/>
      <w:pPr>
        <w:ind w:left="5760" w:hanging="360"/>
      </w:pPr>
    </w:lvl>
    <w:lvl w:ilvl="8" w:tplc="F5E4C37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276BCD"/>
    <w:multiLevelType w:val="hybridMultilevel"/>
    <w:tmpl w:val="E22A1072"/>
    <w:lvl w:ilvl="0" w:tplc="61A6904A">
      <w:start w:val="1"/>
      <w:numFmt w:val="bullet"/>
      <w:lvlText w:val="•"/>
      <w:lvlJc w:val="left"/>
      <w:pPr>
        <w:ind w:left="540" w:hanging="270"/>
      </w:pPr>
    </w:lvl>
    <w:lvl w:ilvl="1" w:tplc="D53CE4C0">
      <w:numFmt w:val="decimal"/>
      <w:lvlText w:val=""/>
      <w:lvlJc w:val="left"/>
    </w:lvl>
    <w:lvl w:ilvl="2" w:tplc="28187206">
      <w:numFmt w:val="decimal"/>
      <w:lvlText w:val=""/>
      <w:lvlJc w:val="left"/>
    </w:lvl>
    <w:lvl w:ilvl="3" w:tplc="DD466EDA">
      <w:numFmt w:val="decimal"/>
      <w:lvlText w:val=""/>
      <w:lvlJc w:val="left"/>
    </w:lvl>
    <w:lvl w:ilvl="4" w:tplc="FA72AA20">
      <w:numFmt w:val="decimal"/>
      <w:lvlText w:val=""/>
      <w:lvlJc w:val="left"/>
    </w:lvl>
    <w:lvl w:ilvl="5" w:tplc="1F8A5DA6">
      <w:numFmt w:val="decimal"/>
      <w:lvlText w:val=""/>
      <w:lvlJc w:val="left"/>
    </w:lvl>
    <w:lvl w:ilvl="6" w:tplc="2B7EDAD6">
      <w:numFmt w:val="decimal"/>
      <w:lvlText w:val=""/>
      <w:lvlJc w:val="left"/>
    </w:lvl>
    <w:lvl w:ilvl="7" w:tplc="F378C50C">
      <w:numFmt w:val="decimal"/>
      <w:lvlText w:val=""/>
      <w:lvlJc w:val="left"/>
    </w:lvl>
    <w:lvl w:ilvl="8" w:tplc="0E3EA5E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4950"/>
    <w:rsid w:val="00811DED"/>
    <w:rsid w:val="00A03E9D"/>
    <w:rsid w:val="00A630F4"/>
    <w:rsid w:val="00D34950"/>
    <w:rsid w:val="00E77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B301B"/>
  <w15:docId w15:val="{9D2D13EF-2F72-4F0F-9536-5B8516CCE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1"/>
        <w:szCs w:val="21"/>
        <w:lang w:val="es-MX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L1" Type="http://schemas.openxmlformats.org/officeDocument/2006/relationships/hyperlink" Target="https://dantetarraga.atlassian.net/jira/software/projects/PS/boards/2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1333</Words>
  <Characters>7333</Characters>
  <Application>Microsoft Office Word</Application>
  <DocSecurity>0</DocSecurity>
  <Lines>61</Lines>
  <Paragraphs>17</Paragraphs>
  <ScaleCrop>false</ScaleCrop>
  <Company>Interseguro Compañia de seguros S.A.</Company>
  <LinksUpToDate>false</LinksUpToDate>
  <CharactersWithSpaces>8649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Dante Tárraga</dc:creator>
  <cp:lastModifiedBy>Dante Tárraga</cp:lastModifiedBy>
  <cp:revision>3</cp:revision>
  <dcterms:created xsi:type="dcterms:W3CDTF">2026-10-12T23:19:00Z</dcterms:created>
  <dcterms:modified xsi:type="dcterms:W3CDTF">2026-10-14T22:00:00Z</dcterms:modified>
</cp:coreProperties>
</file>