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Matriz de trazabilidad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Conecta </w:t>
            </w:r>
            <w:r>
              <w:rPr>
                <w:b/>
                <w:bCs/>
                <w:sz w:val="20"/>
                <w:szCs w:val="20"/>
              </w:rPr>
              <w:t xml:space="preserve">7 requisitos</w:t>
            </w:r>
            <w:r>
              <w:rPr>
                <w:sz w:val="20"/>
                <w:szCs w:val="20"/>
              </w:rPr>
              <w:t xml:space="preserve"> con sus casos y defectos. Los 7 tienen casos (cobertura </w:t>
            </w:r>
            <w:r>
              <w:rPr>
                <w:b/>
                <w:bCs/>
                <w:sz w:val="20"/>
                <w:szCs w:val="20"/>
              </w:rPr>
              <w:t xml:space="preserve">100 %</w:t>
            </w:r>
            <w:r>
              <w:rPr>
                <w:sz w:val="20"/>
                <w:szCs w:val="20"/>
              </w:rPr>
              <w:t xml:space="preserve">). Los requisitos se sacaron de la pantalla porque la demo no publica un documento de requisitos.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 de octubre de 2026 (actualizada el 21 de octubre)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(CP-01 a CP-12), pruebas de accesibilidad 1 a 5, tabla de decisión (TD-01 a TD-04), sesión exploratoria 1, casos del catálogo (CC-01 a CC-18), casos del checkout (CK-01 a CK-09) y reporte de defectos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Pasó, Falló y Por ejecutar (escrito, sin ejecutar)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docs/Matriz de trazabilidad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Matriz requisito → casos → defectos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60"/>
        <w:gridCol w:w="1300"/>
        <w:gridCol w:w="1500"/>
        <w:gridCol w:w="1100"/>
        <w:gridCol w:w="2300"/>
      </w:tblGrid>
      <w:tr>
        <w:trPr>
          <w:tblHeader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 (inferido)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Defectos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total del carrito es precio × cantidad para cualquier cantidad válida (1 a 300).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CP-01, CP-02, CP-03, CP-04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 pasó; CP-02 a CP-04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DEF-01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total usa €22.944 (precio con descuento sin redondear).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carrito no acepta cantidades fuera del rango 1 a 300 (0 o más que el stock).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CP-05, CP-06, CP-07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3 pasaron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Probado en la ficha del producto y en el carrito.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Ante una cantidad inválida (negativa, decimal, letras o vacía) el carrito no cambia el pedido sin avisar.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CP-08, CP-09, CP-10, CP-11, CP-12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5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DEF-02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CP-12 (007) salió de la revisión con IA.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y M05. El cliente completa la compra: buscar, ver el detalle, agregar, iniciar sesión, checkout y confirmación.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CK-01 a CK-09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8 pasaron y CK-01 falló; la compra completa (CK-09) pasó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DEF-03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Pedido OJJKGSAGV como invitado, €31.34 (21-oct-2026).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M05. El checkout es utilizable con teclado y lector de pantalla (contraste, etiquetas y texto alternativo).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rápidas 1 a 5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 y 5 pasaron; 2, 3 y 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A11Y-01, A11Y-02, A11Y-03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dio 100 y la revisión manual encontró 3 hallazgos.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M01. El cliente crea una cuenta, inicia y cierra sesión, con validación de campos y mensajes claros.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TD-01 a TD-04 y sesión exploratoria 1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TD-02 pasó; 3 por ejecutar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DEF-03, DEF-04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CUBIERTO EN PARTE:</w:t>
            </w:r>
            <w:r>
              <w:rPr>
                <w:sz w:val="18"/>
                <w:szCs w:val="18"/>
              </w:rPr>
              <w:t xml:space="preserve"> falta crear una cuenta, entrar y salir.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M02. El cliente encuentra un producto por búsqueda, categoría y filtros, y elige talla y color.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CC-01 a CC-18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 pasaron y 2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DEF-05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Búsqueda, categorías, filtros, orden y variantes.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Qué muestra la matriz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Huecos de cobertura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es el único requisito con casos sin ejecutar: TD-01, TD-03 y TD-04 necesitan una contraseña.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CP-02 y CP-11 se repitieron con la talla M negra (21-oct): DEF-01 y DEF-02 se repiten, así que no dependen del producto.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 hay casos sin requisito: todos los casos (carrito, accesibilidad, tabla de decisión, catálogo y checkout) tienen su requisito.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Impacto de los defectos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R3 concentra el defecto más grave (DEF-02, severidad alta): fallaron sus 5 casos. La validación de la cantidad es la parte más débil del carrito.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tiene un defecto de cálculo (DEF-01) que crece con la cantidad (€1.20 de más con 300 unidades).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R5 tiene tres hallazgos de accesibilidad; el más grave (A11Y-02) está en el inicio de sesión del checkout, dentro del flujo crítico.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tiene DEF-03 y DEF-04, del registro de cuenta. DEF-03 también aparece en el checkout (R4).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R7 tiene DEF-05: la búsqueda muestra productos que no tienen relación.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Cobertura de requisitos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960"/>
        <w:gridCol w:w="1800"/>
      </w:tblGrid>
      <w:tr>
        <w:trPr>
          <w:tblHeader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 menos un caso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algún caso ejecutado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sin casos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de 7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0 %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Nota:</w:t>
      </w:r>
      <w:r>
        <w:rPr/>
        <w:t xml:space="preserve"> la cobertura mide presencia de casos, no su calidad. R1 a R3 tienen casos de clases de equivalencia y valores límite (0, 1, 2, 299, 300 y 301), pero de un solo producto; R5 tiene pruebas manuales rápidas, no una auditoría completa. R6 cuenta con 1 de sus 4 casos ejecutado.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Acciones derivadas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460"/>
        <w:gridCol w:w="1800"/>
        <w:gridCol w:w="1400"/>
      </w:tblGrid>
      <w:tr>
        <w:trPr>
          <w:tblHeader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cuenta e inicio de sesión para cubrir R6.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 curso: TD-01, TD-03 y TD-04 los ejecuta el autor (necesitan contraseña)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búsqueda, filtros y variantes para cubrir R7.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Hecho (21-oct-2026)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Escribir la compra completa como caso formal (R4) y ejecutarlo.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Hecho: CK-09 (21-oct-2026)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CP-02 y CP-11 con otra talla o color para ver si DEF-01 y DEF-02 dependen del producto.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Hecho: se repiten (21-oct-2026)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Confirmar con el instructor si el contraste de los números de pasos del checkout (1.49 : 1) se reporta.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Para la próxima clase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Reproducir DEF-03, DEF-04 y DEF-05 y registrarlos en Jira.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Hecho: PS-20, PS-21 y PS-22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Cómo se mantiene la matriz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Se actualiza cada vez que cambia un requisito, se agrega un caso o aparece un defecto.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requisitos inferidos se anotan como tales.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va en la fila del requisito que incumple.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huecos se revisan antes de cerrar el ciclo de pruebas.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7 requisitos con ID y descripción (mínimo 5).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caso asociado a un requisito, y cada requisito con sus casos o marcado «SIN CASOS».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asociado a su requisito.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Cobertura calculada con su fórmula y una nota sobre sus límites.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