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Matriz de trazabilidad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Conecta </w:t>
            </w:r>
            <w:r>
              <w:rPr>
                <w:b/>
                <w:bCs/>
                <w:sz w:val="20"/>
                <w:szCs w:val="20"/>
              </w:rPr>
              <w:t xml:space="preserve">7 requisitos</w:t>
            </w:r>
            <w:r>
              <w:rPr>
                <w:sz w:val="20"/>
                <w:szCs w:val="20"/>
              </w:rPr>
              <w:t xml:space="preserve"> con sus casos de prueba y con los defectos hallados. 5 requisitos tienen casos ejecutados (cobertura </w:t>
            </w:r>
            <w:r>
              <w:rPr>
                <w:b/>
                <w:bCs/>
                <w:sz w:val="20"/>
                <w:szCs w:val="20"/>
              </w:rPr>
              <w:t xml:space="preserve">71 %</w:t>
            </w:r>
            <w:r>
              <w:rPr>
                <w:sz w:val="20"/>
                <w:szCs w:val="20"/>
              </w:rPr>
              <w:t xml:space="preserve">) y 2 quedan como huecos: compra completa (R4) y catálogo (R7). R6 (cuenta) se cubrió en parte el 21 de octubre con la tabla de decisión y la sesión exploratoria 1. Los requisitos están inferidos de la pantalla porque la demo no publica un documento de requisitos.</w:t>
            </w:r>
          </w:p>
        </w:tc>
      </w:tr>
    </w:tbl>
    <w:p>
      <w:pPr>
        <w:spacing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 de octubre de 2026 · actualizada el 21 de octubre de 2026 (R6)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prueba manuales v1 (CP-01 a CP-12), pruebas rápidas de accesibilidad 1 a 5, Tabla de decisión v1 (TD-01 a TD-04), sesión exploratoria 1 y Reporte de defectos v1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Pasó, Falló y Por ejecutar (escrito, sin ejecutar)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docs/Matriz de trazabilidad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Matriz requisito → casos → defectos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560"/>
        <w:gridCol w:w="1300"/>
        <w:gridCol w:w="1500"/>
        <w:gridCol w:w="1100"/>
        <w:gridCol w:w="2300"/>
      </w:tblGrid>
      <w:tr>
        <w:trPr>
          <w:tblHeader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 (inferido)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Defectos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total del carrito es precio × cantidad para cualquier cantidad válida (1 a 300).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CP-01, CP-02, CP-03, CP-04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 pasó; CP-02 a CP-04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DEF-01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total usa €22.944 (precio con descuento sin redondear).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carrito no acepta cantidades fuera del rango 1 a 300 (0 o más que el stock).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CP-05, CP-06, CP-07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3 pasaron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Probado en la ficha del producto y en el carrito.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Ante una cantidad inválida (negativa, decimal, letras o vacía) el carrito no cambia el pedido sin avisar.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CP-08, CP-09, CP-10, CP-11, CP-12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5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DEF-02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CP-12 (007) salió de la revisión con IA.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y M05. El cliente completa la compra: buscar, ver el detalle, agregar, iniciar sesión, checkout y confirmación.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SIN 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Recorrido sin caso formal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HUECO DE COBERTURA.</w:t>
            </w:r>
            <w:r>
              <w:rPr>
                <w:sz w:val="18"/>
                <w:szCs w:val="18"/>
              </w:rPr>
              <w:t xml:space="preserve"> Se recorrió el 07-oct-2026 (pedido TCPDKGKBS, €31.34) para mapear endpoints, sin resultado esperado escrito.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M05. El checkout es utilizable con teclado y lector de pantalla (contraste, etiquetas y texto alternativo).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rápidas 1 a 5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 y 5 pasaron; 2, 3 y 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A11Y-01, A11Y-02, A11Y-03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dio 100 y la revisión manual encontró 3 hallazgos.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R6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M01. El cliente crea una cuenta, inicia y cierra sesión, con validación de campos y mensajes claros.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TD-01, TD-02, TD-03, TD-04 y sesión exploratoria 1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TD-02 pasó; TD-01, TD-03 y TD-04 por ejecutar; sesión exploratoria 1 hecha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DEF-03, DEF-04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CUBIERTO EN PARTE:</w:t>
            </w:r>
            <w:r>
              <w:rPr>
                <w:sz w:val="18"/>
                <w:szCs w:val="18"/>
              </w:rPr>
              <w:t xml:space="preserve"> falta crear una cuenta real (TD-01) e iniciar y cerrar sesión; necesitan una contraseña válida.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R7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M02. El cliente encuentra un producto por búsqueda, categoría y filtros, y elige talla y color.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SIN 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ejecutar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HUECO DE COBERTURA:</w:t>
            </w:r>
            <w:r>
              <w:rPr>
                <w:sz w:val="18"/>
                <w:szCs w:val="18"/>
              </w:rPr>
              <w:t xml:space="preserve"> módulo de prioridad alta.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Qué muestra la matriz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Huecos de cobertura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R7 (Catalog) no tiene casos. Es un módulo de prioridad alta, así que es el hueco principal.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(Log in y Sign up) tiene 4 casos de la tabla de decisión (1 ejecutado) y la sesión exploratoria 1, pero falta crear una cuenta real, el inicio y el cierre de sesión y el correo ya registrado.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R4 no tiene un caso formal: la compra completa se recorrió para el mapa de flujos, pero sin pasos, datos y resultado esperado escritos.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a R3 cubren un solo producto (Hummingbird printed t-shirt, S, blanco). Otra talla o color, o un producto con compra mínima mayor que 1, quedan para la v2.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 hay casos sin requisito: los 12 casos del carrito, las 5 pruebas de accesibilidad y los 4 casos de la tabla de decisión quedaron asociados.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Impacto de los defectos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R3 concentra el defecto más grave (DEF-02, severidad alta): fallaron sus 5 casos. La validación de la cantidad es la parte más débil del carrito.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tiene un defecto de cálculo (DEF-01) que crece con la cantidad (€1.20 de más con 300 unidades).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R5 tiene tres hallazgos de accesibilidad; el más grave (A11Y-02) está en el inicio de sesión del checkout, dentro del flujo crítico.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tiene dos defectos de la sesión exploratoria 1: DEF-03 (error 500 con un correo que termina en «@») y DEF-04 (mensaje de formato para una fecha futura). Los dos son de severidad media o baja.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Cobertura de requisitos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960"/>
        <w:gridCol w:w="1800"/>
      </w:tblGrid>
      <w:tr>
        <w:trPr>
          <w:tblHeader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 menos un caso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 de 7 (R1, R2, R3, R5 y R6)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algún caso ejecutado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 de 7 (R1, R2, R3, R5 y R6)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sin casos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 de 7 (R4 y R7)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29 %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>
          <w:b/>
          <w:bCs/>
        </w:rPr>
        <w:t xml:space="preserve">Nota:</w:t>
      </w:r>
      <w:r>
        <w:rPr/>
        <w:t xml:space="preserve"> la cobertura mide presencia de casos, no su calidad. R1 a R3 tienen casos de clases de equivalencia y valores límite (0, 1, 2, 299, 300 y 301), pero de un solo producto; R5 tiene pruebas manuales rápidas, no una auditoría completa; R6 cuenta como ejecutado con 1 de sus 4 casos.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Acciones derivadas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460"/>
        <w:gridCol w:w="1800"/>
        <w:gridCol w:w="1400"/>
      </w:tblGrid>
      <w:tr>
        <w:trPr>
          <w:tblHeader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cuenta e inicio de sesión para cubrir R6.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 curso: faltan TD-01, TD-03 y TD-04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búsqueda, filtros y variantes para cubrir R7.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Escribir la compra completa como caso formal (R4) y ejecutarlo.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CP-02 y CP-11 con otra talla o color para ver si DEF-01 y DEF-02 dependen del producto.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Confirmar con el instructor si el contraste de los números de pasos del checkout (1.49 : 1) se reporta.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Reproducir DEF-03 y DEF-04 en una instancia nueva y registrarlos en Jira citando la sesión exploratoria 1.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Cómo se mantiene la matriz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Se actualiza cada vez que cambia un requisito, se agrega un caso o aparece un defecto.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requisitos inferidos se anotan como tales.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va en la fila del requisito que incumple.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huecos se revisan antes de cerrar el ciclo de pruebas.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7 requisitos con ID y descripción (mínimo 5).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caso asociado a un requisito, y cada requisito con sus casos o marcado «SIN CASOS».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asociado a su requisito.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Cobertura calculada con su fórmula y una nota sobre sus límites.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