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60"/>
      </w:pPr>
      <w:r>
        <w:rPr>
          <w:b/>
          <w:bCs/>
          <w:color w:val="00B1DF"/>
          <w:sz w:val="18"/>
          <w:szCs w:val="18"/>
        </w:rPr>
        <w:t xml:space="preserve">QA Automatizador · Semana 3 · Entregable</w:t>
      </w:r>
    </w:p>
    <w:p>
      <w:pPr>
        <w:spacing w:after="60"/>
      </w:pPr>
      <w:r>
        <w:rPr>
          <w:b/>
          <w:bCs/>
          <w:sz w:val="44"/>
          <w:szCs w:val="44"/>
        </w:rPr>
        <w:t xml:space="preserve">Plan de pruebas v1</w:t>
      </w:r>
    </w:p>
    <w:p>
      <w:pPr>
        <w:spacing w:after="200"/>
      </w:pPr>
      <w:r>
        <w:rPr>
          <w:color w:val="3D4750"/>
          <w:sz w:val="24"/>
          <w:szCs w:val="24"/>
        </w:rPr>
        <w:t xml:space="preserve">Proyecto: PrestaShop 9.2.0 (demo.prestashop.com) · carrito y flujo de compra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90" w:lineRule="auto"/>
            </w:pPr>
            <w:r>
              <w:rPr>
                <w:b/>
                <w:bCs/>
                <w:sz w:val="20"/>
                <w:szCs w:val="20"/>
              </w:rPr>
              <w:t xml:space="preserve">Resumen.</w:t>
            </w:r>
            <w:r>
              <w:rPr>
                <w:sz w:val="20"/>
                <w:szCs w:val="20"/>
              </w:rPr>
              <w:t xml:space="preserve"> Plan de las pruebas manuales del Módulo 1 sobre la demo de PrestaShop. Parte del Documento de Alcance de Calidad (QA-ALC-001, v1.2) y suma lo aprendido en las semanas 2 y 3. Lo que aún no está definido queda como «por completar».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1. Identificación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Proyecto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PrestaShop 9.2.0, demo oficial (front office y back office)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Versión y 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v1.1 · 21 de octubre de 2026 (v1 del 19 de octubre de 2026)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Documento base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Documento de Alcance de Calidad — PrestaShop (QA-ALC-001, v1.2)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docs/Plan de pruebas v1 — PrestaShop.docx (en el repositorio proyecto_final_Dante_Tarraga)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2. Objetivo y alcance</w:t>
      </w:r>
    </w:p>
    <w:p>
      <w:pPr>
        <w:spacing w:after="120" w:line="300" w:lineRule="auto"/>
      </w:pPr>
      <w:r>
        <w:rPr>
          <w:b/>
          <w:bCs/>
        </w:rPr>
        <w:t xml:space="preserve">Objetivo:</w:t>
      </w:r>
      <w:r>
        <w:rPr/>
        <w:t xml:space="preserve"> comprobar que un cliente pueda comprar de principio a fin (cuenta, búsqueda, carrito y checkout) sin errores y con el total correcto, y que ese flujo se pueda usar con teclado y lector de pantalla. Después, que el pedido aparezca en el back office.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080"/>
        <w:gridCol w:w="4080"/>
      </w:tblGrid>
      <w:tr>
        <w:trPr>
          <w:tblHeader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Alcance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M01 Log in y Sign up: crear cuenta, entrar y salir, validación de campos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cuenta el cliente no compra con ella.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M02 Catalog: búsqueda, categorías, filtros y variantes (talla y color)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 el cliente no encuentra el producto, no compra.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 My Cart: agregar, quitar, cambiar cantidades y cálculo del total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total incorrecto cobra mal al cliente.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M05 Check Out: datos personales, dirección, transportista, pago y confirmación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 falla, la tienda no vende.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M03 Back Office: ver el pedido y cambiar su estado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tienda debe procesar lo que vende. Prioridad media: se cubre después de los módulos de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Accesibilidad básica del flujo de compra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Cinco pruebas rápidas sobre la ficha del producto, el carrito y el checkout.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Rendimiento y carga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ven en el Módulo 4 del curso.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Seguridad avanzada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ve en el Módulo 4 del curso.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Automatización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Empieza en el Módulo 2; en el Módulo 1 todo es manual.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Otros navegadores y móviles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prueba en Chrome de escritorio.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Cobro real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demo usa métodos de pago de demostración; se prueba hasta la confirmación del pedido.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Configuración avanzada del back office (módulos, temas, idiomas, monedas)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forma parte del flujo de compra.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/>
        <w:t xml:space="preserve">Los requisitos se infirieron de la pantalla (por ejemplo, stock 300 y compra mínima 1 en la ficha del producto) porque la demo no publica un documento de requisitos. Ver la Matriz de trazabilidad v1.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3. Enfoque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tblHeader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 de prueba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Cómo se realiza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manuales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Diseñados con partición de equivalencia y valores límite. Hechos para M04 (12 casos en Casos de prueba manuales v1); M01 tiene los 4 casos de la tabla de decisión; M02 y M05 por completar.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Tablas de decisión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Para reglas que combinan varias condiciones. Tabla de decisión v1 — PrestaShop: registro de cuenta con 3 condiciones, 8 combinaciones, 4 reglas y 4 casos (TD-01 a TD-04).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Exploratoria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Sesiones con charter, notas etiquetadas (D, P, I, O) y balance de tiempo, de 60 a 90 minutos. La primera es docs/sesion-exploratoria-1.md, sobre el registro de cuenta (M01), hecha el 21 de octubre de 2026: dejó DEF-03 y DEF-04.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Accesibilidad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Cinco pruebas rápidas: teclado, contraste, texto alternativo, formularios y nombres de enlaces y botones. Lighthouse solo como apoyo: dio 100 en el checkout y la revisión manual encontró 3 hallazgos.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Regresión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Repetir los casos que fallaron (CP-02 a CP-04 y CP-08 a CP-12) cuando se corrija un defecto.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Herramientas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Chrome 155 con DevTools (red, árbol de accesibilidad, estilos calculados) y Lighthouse; Jira (plan Free) para casos y defectos; Git y GitHub con rama y pull request.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4. Criterios de entrada y de salida</w:t>
      </w:r>
    </w:p>
    <w:p>
      <w:pPr>
        <w:spacing w:after="120" w:line="300" w:lineRule="auto"/>
      </w:pPr>
      <w:r>
        <w:rPr/>
        <w:t xml:space="preserve">Cada criterio se responde con sí o no. La última columna muestra el estado al 21 de octubre de 2026.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980"/>
        <w:gridCol w:w="3180"/>
      </w:tblGrid>
      <w:tr>
        <w:trPr>
          <w:tblHeader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Condición verificable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demo responde y se puede crear una cuenta o iniciar sesión.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datos base están definidos (Hummingbird printed t-shirt, S, blanco, €22.94).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repositorio y el tablero de Jira (proyecto PS) están creados.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módulos de prioridad alta (M01, M02, M04 y M05) tienen casos diseñados y ejecutados.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No: M04 tiene casos; M01 tiene la tabla de decisión (1 de 4 casos ejecutado); M05 se probó en accesibilidad; M02 sin casos.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matriz de trazabilidad no tiene requisitos sin casos.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No: R4 y R7 sin casos.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Hay al menos 5 defectos documentados con pasos, esperado, obtenido, severidad y evidencia.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7 en el Reporte de defectos v1 (5 en Jira y 2 por registrar).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hizo al menos una sesión exploratoria con notas.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sesión exploratoria 1 (21-oct-2026), con notas y 2 defectos.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quedan defectos de severidad crítica sin documentar.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los más graves (DEF-02 y A11Y-02) son de severidad alta.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5. Entorno y datos de prueba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Entorno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Demo pública demo.prestashop.com. Cada visita crea una instancia temporal; se anota su URL (por ejemplo, miniature-railway o stormy-flock).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Navegador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Google Chrome 155 de escritorio (1440 × 900), el mismo durante todo el módulo.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Cliente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Cuenta propia creada al inicio de cada sesión, porque la instancia es temporal.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Visitante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cuenta: navegar y comprar como invitado.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demoen@prestashop.com (SuperAdmin); la demo inicia sesión sola en el back office. Las contraseñas no se copian en el repositorio.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Producto base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Hummingbird printed t-shirt, talla S, color blanco (€22.94; stock 300; compra mínima 1).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Valores de cantidad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 1, 2, 299, 300, 301, -1, 1.5, abc, vacío y 007.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Capturas en docs/evidencias/ y adjuntas al defecto en Jira.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6. Roles y cronograma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0"/>
        <w:gridCol w:w="2400"/>
        <w:gridCol w:w="2400"/>
      </w:tblGrid>
      <w:tr>
        <w:trPr>
          <w:tblHeader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Documento de alcance y repositorio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30-sep al 05-oct-2026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manuales v1 (M04) y registro en Jira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09-oct-2026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de accesibilidad y usabilidad v1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Sesión exploratoria 1 (M01)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21-oct-2026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Plan de pruebas, matriz de trazabilidad y reporte de defectos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19-oct-2026 (hecho); actualizados el 21-oct-2026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 de decisión v1 (M01)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21-oct-2026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pendientes de M01 (TD-01, TD-03 y TD-04), M02 y M05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Por completar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Revisión del plan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Instructor (líder de QA) y pares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Por completar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7. Riesgos y mitigación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Mitigación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visita crea una instancia nueva y los datos se pierden (ya pasó: tres instancias distintas y una respondió 502).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Anotar la URL de la instancia, crear los datos al inicio de cada sesión y guardar capturas como evidencia.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sitio está lento o no disponible.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Registrar la hora, reintentar más tarde y avanzar con documentación mientras tanto.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comportamiento parece defecto pero es una decisión de diseño (por ejemplo, el «−» que elimina el producto con 1 unidad).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Revisar la documentación de PrestaShop y marcarlo «por confirmar» antes de reportarlo.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alcanza el tiempo para todos los módulos.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Priorizar M04 y M05, luego M01 y M02, y declarar M03 como no cubierto.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 da un puntaje alto aunque haya problemas.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Aplicar siempre las cinco pruebas rápidas manuales; no reportar solo con la herramienta.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defecto no se reproduce en otra instancia.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Anotar pasos y valores exactos; si no se reproduce, registrarlo como «No reproducible» con lo intentado.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8. Entregables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Documento de Alcance de Calidad — PrestaShop (QA-ALC-001).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Casos de prueba manuales v1 — PrestaShop (y docs/casos-manuales-v1.md).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Pruebas de accesibilidad y usabilidad v1 (docs/accesibilidad-usabilidad-v1.md).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Plan de pruebas v1 — PrestaShop (este documento).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Matriz de trazabilidad v1 — PrestaShop.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Reporte de defectos v1 — PrestaShop.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Notas de las sesiones exploratorias (docs/sesion-exploratoria-1.md).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Tabla de decisión v1 — PrestaShop (registro de cuenta).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Lista de verificación antes de entregar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Alcance con 6 elementos dentro y 6 fuera, cada uno con su motivo (mínimo 3 y 2).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Criterios de entrada y de salida que se responden con sí o no.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6 riesgos, cada uno con su mitigación (mínimo 3).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 que no se sabe aparece como «por completar», no inventado.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Archivo en el repositorio mediante rama y pull request.</w:t>
      </w:r>
    </w:p>
    <w:sectPr w:rsidR="00D34950">
      <w:footerReference w:type="default" r:id="rId7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DED" w:rsidRDefault="00811DED">
      <w:r>
        <w:separator/>
      </w:r>
    </w:p>
  </w:endnote>
  <w:endnote w:type="continuationSeparator" w:id="0">
    <w:p w:rsidR="00811DED" w:rsidRDefault="00811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950" w:rsidRDefault="00A03E9D">
    <w:pPr>
      <w:jc w:val="center"/>
    </w:pPr>
    <w:r>
      <w:rPr>
        <w:color w:val="6B7680"/>
        <w:sz w:val="16"/>
        <w:szCs w:val="16"/>
      </w:rPr>
      <w:t xml:space="preserve">Dante Tárraga · QA </w:t>
    </w:r>
    <w:proofErr w:type="spellStart"/>
    <w:r>
      <w:rPr>
        <w:color w:val="6B7680"/>
        <w:sz w:val="16"/>
        <w:szCs w:val="16"/>
      </w:rPr>
      <w:t>Automatizador</w:t>
    </w:r>
    <w:proofErr w:type="spellEnd"/>
    <w:r>
      <w:rPr>
        <w:color w:val="6B7680"/>
        <w:sz w:val="16"/>
        <w:szCs w:val="16"/>
      </w:rPr>
      <w:t xml:space="preserve"> · </w:t>
    </w:r>
    <w:proofErr w:type="spellStart"/>
    <w:r>
      <w:rPr>
        <w:color w:val="6B7680"/>
        <w:sz w:val="16"/>
        <w:szCs w:val="16"/>
      </w:rPr>
      <w:t>Tecsup</w:t>
    </w:r>
    <w:proofErr w:type="spellEnd"/>
    <w:r>
      <w:rPr>
        <w:color w:val="6B7680"/>
        <w:sz w:val="16"/>
        <w:szCs w:val="16"/>
      </w:rPr>
      <w:t xml:space="preserve"> Virtual · Página </w:t>
    </w:r>
    <w:r>
      <w:rPr>
        <w:color w:val="6B7680"/>
        <w:sz w:val="16"/>
        <w:szCs w:val="16"/>
      </w:rPr>
      <w:fldChar w:fldCharType="begin"/>
    </w:r>
    <w:r>
      <w:rPr>
        <w:color w:val="6B7680"/>
        <w:sz w:val="16"/>
        <w:szCs w:val="16"/>
      </w:rPr>
      <w:instrText>PAGE</w:instrText>
    </w:r>
    <w:r>
      <w:rPr>
        <w:color w:val="6B7680"/>
        <w:sz w:val="16"/>
        <w:szCs w:val="16"/>
      </w:rPr>
      <w:fldChar w:fldCharType="separate"/>
    </w:r>
    <w:r w:rsidR="00A630F4">
      <w:rPr>
        <w:noProof/>
        <w:color w:val="6B7680"/>
        <w:sz w:val="16"/>
        <w:szCs w:val="16"/>
      </w:rPr>
      <w:t>5</w:t>
    </w:r>
    <w:r>
      <w:rPr>
        <w:color w:val="6B76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DED" w:rsidRDefault="00811DED">
      <w:r>
        <w:separator/>
      </w:r>
    </w:p>
  </w:footnote>
  <w:footnote w:type="continuationSeparator" w:id="0">
    <w:p w:rsidR="00811DED" w:rsidRDefault="00811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B1540"/>
    <w:multiLevelType w:val="hybridMultilevel"/>
    <w:tmpl w:val="E3389C20"/>
    <w:lvl w:ilvl="0" w:tplc="DD524770">
      <w:start w:val="1"/>
      <w:numFmt w:val="bullet"/>
      <w:lvlText w:val="●"/>
      <w:lvlJc w:val="left"/>
      <w:pPr>
        <w:ind w:left="720" w:hanging="360"/>
      </w:pPr>
    </w:lvl>
    <w:lvl w:ilvl="1" w:tplc="0388AFCA">
      <w:start w:val="1"/>
      <w:numFmt w:val="bullet"/>
      <w:lvlText w:val="○"/>
      <w:lvlJc w:val="left"/>
      <w:pPr>
        <w:ind w:left="1440" w:hanging="360"/>
      </w:pPr>
    </w:lvl>
    <w:lvl w:ilvl="2" w:tplc="6E948136">
      <w:start w:val="1"/>
      <w:numFmt w:val="bullet"/>
      <w:lvlText w:val="■"/>
      <w:lvlJc w:val="left"/>
      <w:pPr>
        <w:ind w:left="2160" w:hanging="360"/>
      </w:pPr>
    </w:lvl>
    <w:lvl w:ilvl="3" w:tplc="90626C6E">
      <w:start w:val="1"/>
      <w:numFmt w:val="bullet"/>
      <w:lvlText w:val="●"/>
      <w:lvlJc w:val="left"/>
      <w:pPr>
        <w:ind w:left="2880" w:hanging="360"/>
      </w:pPr>
    </w:lvl>
    <w:lvl w:ilvl="4" w:tplc="44BAE1EA">
      <w:start w:val="1"/>
      <w:numFmt w:val="bullet"/>
      <w:lvlText w:val="○"/>
      <w:lvlJc w:val="left"/>
      <w:pPr>
        <w:ind w:left="3600" w:hanging="360"/>
      </w:pPr>
    </w:lvl>
    <w:lvl w:ilvl="5" w:tplc="755E311A">
      <w:start w:val="1"/>
      <w:numFmt w:val="bullet"/>
      <w:lvlText w:val="■"/>
      <w:lvlJc w:val="left"/>
      <w:pPr>
        <w:ind w:left="4320" w:hanging="360"/>
      </w:pPr>
    </w:lvl>
    <w:lvl w:ilvl="6" w:tplc="FACE6DA4">
      <w:start w:val="1"/>
      <w:numFmt w:val="bullet"/>
      <w:lvlText w:val="●"/>
      <w:lvlJc w:val="left"/>
      <w:pPr>
        <w:ind w:left="5040" w:hanging="360"/>
      </w:pPr>
    </w:lvl>
    <w:lvl w:ilvl="7" w:tplc="B3BA8A44">
      <w:start w:val="1"/>
      <w:numFmt w:val="bullet"/>
      <w:lvlText w:val="●"/>
      <w:lvlJc w:val="left"/>
      <w:pPr>
        <w:ind w:left="5760" w:hanging="360"/>
      </w:pPr>
    </w:lvl>
    <w:lvl w:ilvl="8" w:tplc="F5E4C3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276BCD"/>
    <w:multiLevelType w:val="hybridMultilevel"/>
    <w:tmpl w:val="E22A1072"/>
    <w:lvl w:ilvl="0" w:tplc="61A6904A">
      <w:start w:val="1"/>
      <w:numFmt w:val="bullet"/>
      <w:lvlText w:val="•"/>
      <w:lvlJc w:val="left"/>
      <w:pPr>
        <w:ind w:left="540" w:hanging="270"/>
      </w:pPr>
    </w:lvl>
    <w:lvl w:ilvl="1" w:tplc="D53CE4C0">
      <w:numFmt w:val="decimal"/>
      <w:lvlText w:val=""/>
      <w:lvlJc w:val="left"/>
    </w:lvl>
    <w:lvl w:ilvl="2" w:tplc="28187206">
      <w:numFmt w:val="decimal"/>
      <w:lvlText w:val=""/>
      <w:lvlJc w:val="left"/>
    </w:lvl>
    <w:lvl w:ilvl="3" w:tplc="DD466EDA">
      <w:numFmt w:val="decimal"/>
      <w:lvlText w:val=""/>
      <w:lvlJc w:val="left"/>
    </w:lvl>
    <w:lvl w:ilvl="4" w:tplc="FA72AA20">
      <w:numFmt w:val="decimal"/>
      <w:lvlText w:val=""/>
      <w:lvlJc w:val="left"/>
    </w:lvl>
    <w:lvl w:ilvl="5" w:tplc="1F8A5DA6">
      <w:numFmt w:val="decimal"/>
      <w:lvlText w:val=""/>
      <w:lvlJc w:val="left"/>
    </w:lvl>
    <w:lvl w:ilvl="6" w:tplc="2B7EDAD6">
      <w:numFmt w:val="decimal"/>
      <w:lvlText w:val=""/>
      <w:lvlJc w:val="left"/>
    </w:lvl>
    <w:lvl w:ilvl="7" w:tplc="F378C50C">
      <w:numFmt w:val="decimal"/>
      <w:lvlText w:val=""/>
      <w:lvlJc w:val="left"/>
    </w:lvl>
    <w:lvl w:ilvl="8" w:tplc="0E3E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50"/>
    <w:rsid w:val="00811DED"/>
    <w:rsid w:val="00A03E9D"/>
    <w:rsid w:val="00A630F4"/>
    <w:rsid w:val="00D34950"/>
    <w:rsid w:val="00E77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301B"/>
  <w15:docId w15:val="{9D2D13EF-2F72-4F0F-9536-5B8516CC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1333</Words>
  <Characters>7333</Characters>
  <Application>Microsoft Office Word</Application>
  <DocSecurity>0</DocSecurity>
  <Lines>61</Lines>
  <Paragraphs>17</Paragraphs>
  <ScaleCrop>false</ScaleCrop>
  <Company>Interseguro Compañia de seguros S.A.</Company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Dante Tárraga</dc:creator>
  <cp:lastModifiedBy>Dante Tárraga</cp:lastModifiedBy>
  <cp:revision>3</cp:revision>
  <dcterms:created xsi:type="dcterms:W3CDTF">2026-10-12T23:19:00Z</dcterms:created>
  <dcterms:modified xsi:type="dcterms:W3CDTF">2026-10-14T22:00:00Z</dcterms:modified>
</cp:coreProperties>
</file>