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strike w:val="false"/>
          <w:dstrike w:val="false"/>
          <w:color w:themeColor="text1" w:val="000000"/>
          <w:sz w:val="26"/>
          <w:szCs w:val="26"/>
          <w:highlight w:val="white"/>
          <w14:ligatures w14:val="non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3.6. Основаниями для отказа в принятии отчетов являются: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strike w:val="false"/>
          <w:dstrike w:val="false"/>
          <w:color w:themeColor="text1" w:val="000000"/>
          <w:sz w:val="26"/>
          <w:szCs w:val="26"/>
          <w:highlight w:val="white"/>
          <w14:ligatures w14:val="non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3.6.1. несоответствие отчетов формам, определенным типовой формой договора, либо представление отчетов не в полном объеме;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3.6.2. иные случаи, установленные договором о предоставлении субсидии.</w:t>
      </w:r>
    </w:p>
    <w:p>
      <w:pPr>
        <w:pStyle w:val="Normal"/>
        <w:spacing w:before="0" w:after="200"/>
        <w:ind w:firstLine="708"/>
        <w:rPr>
          <w:rFonts w:ascii="Liberation Sans" w:hAnsi="Liberation Sans" w:eastAsia="liberationsans" w:cs="Liberation Sans"/>
          <w:sz w:val="26"/>
          <w:szCs w:val="26"/>
          <w:highlight w:val="non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3.7. Получатель субсидии после устранения замечаний  вправе повторно направить отчеты в департамент.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nsPlusNormal" w:customStyle="1">
    <w:name w:val="ConsPlusNormal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Calibri" w:hAnsi="Calibri" w:eastAsia="Arial" w:cs="Calibri" w:eastAsiaTheme="minorEastAs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43</Words>
  <Characters>308</Characters>
  <CharactersWithSpaces>348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2025-03-28T21:33:40Z</dcterms:modified>
  <cp:revision>3</cp:revision>
  <dc:subject/>
  <dc:title/>
</cp:coreProperties>
</file>