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jc w:val="center"/>
        <w:rPr>
          <w:rFonts w:ascii="Liberation Sans" w:hAnsi="Liberation Sans" w:eastAsia="LiberationSans" w:cs="Liberation Sans"/>
          <w:b/>
          <w:bCs/>
          <w:color w:themeColor="text1" w:val="000000"/>
          <w:sz w:val="26"/>
          <w:szCs w:val="26"/>
          <w:highlight w:val="none"/>
        </w:rPr>
      </w:pPr>
      <w:r>
        <w:rPr>
          <w:rFonts w:eastAsia="LiberationSans" w:cs="Liberation Sans" w:ascii="Liberation Sans" w:hAnsi="Liberation Sans"/>
          <w:b/>
          <w:bCs/>
          <w:strike w:val="false"/>
          <w:dstrike w:val="false"/>
          <w:color w:themeColor="text1" w:val="000000"/>
          <w:sz w:val="26"/>
          <w:szCs w:val="26"/>
        </w:rPr>
        <w:t xml:space="preserve">V. Критерии и требования к </w:t>
      </w:r>
      <w:r>
        <w:rPr>
          <w:rFonts w:cs="Liberation Sans" w:ascii="Liberation Sans" w:hAnsi="Liberation Sans"/>
          <w:b/>
          <w:bCs/>
          <w:strike w:val="false"/>
          <w:dstrike w:val="false"/>
          <w:color w:themeColor="text1" w:val="000000"/>
          <w:sz w:val="26"/>
          <w:szCs w:val="26"/>
        </w:rPr>
        <w:t>получателям субсидии</w:t>
      </w:r>
      <w:r>
        <w:rPr>
          <w:rFonts w:eastAsia="LiberationSans" w:cs="Liberation Sans" w:ascii="Liberation Sans" w:hAnsi="Liberation Sans"/>
          <w:b/>
          <w:bCs/>
          <w:strike w:val="false"/>
          <w:dstrike w:val="false"/>
          <w:color w:themeColor="text1" w:val="000000"/>
          <w:sz w:val="26"/>
          <w:szCs w:val="26"/>
        </w:rPr>
        <w:t xml:space="preserve">.  </w:t>
      </w:r>
    </w:p>
    <w:p>
      <w:pPr>
        <w:pStyle w:val="Normal"/>
        <w:pBdr/>
        <w:spacing w:lineRule="auto" w:line="240" w:before="0" w:after="0"/>
        <w:jc w:val="center"/>
        <w:rPr>
          <w:rFonts w:ascii="Liberation Sans" w:hAnsi="Liberation Sans" w:cs="Liberation Sans"/>
          <w:color w:themeColor="text1" w:val="000000"/>
          <w:sz w:val="26"/>
          <w:szCs w:val="26"/>
        </w:rPr>
      </w:pPr>
      <w:r>
        <w:rPr>
          <w:rFonts w:eastAsia="Arial" w:cs="Liberation Sans" w:ascii="Liberation Sans" w:hAnsi="Liberation Sans"/>
          <w:b/>
          <w:bCs/>
          <w:strike w:val="false"/>
          <w:dstrike w:val="false"/>
          <w:color w:themeColor="text1" w:val="000000"/>
          <w:sz w:val="26"/>
          <w:szCs w:val="26"/>
        </w:rPr>
        <w:t>Порядок формирован</w:t>
      </w:r>
      <w:r>
        <w:rPr>
          <w:rFonts w:eastAsia="Arial" w:cs="Liberation Sans" w:ascii="Liberation Sans" w:hAnsi="Liberation Sans"/>
          <w:b/>
          <w:strike w:val="false"/>
          <w:dstrike w:val="false"/>
          <w:color w:themeColor="text1" w:val="000000"/>
          <w:sz w:val="26"/>
          <w:szCs w:val="26"/>
        </w:rPr>
        <w:t>ия и подачи заявок</w:t>
        <w:br/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 Право на участие в отборе для заключения договора и получения субсидий имеют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получатели субсидии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, соответствующие на 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даты 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рассмотрения заявки и заключения договора </w:t>
      </w:r>
      <w:r>
        <w:rPr>
          <w:rFonts w:eastAsia="Liberation 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shd w:fill="FFFFFF" w:val="clear"/>
        </w:rPr>
        <w:t>с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ледующим: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 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FF0000"/>
          <w:sz w:val="26"/>
          <w:szCs w:val="26"/>
          <w:highlight w:val="yellow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4.1. критериям и требованиям: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 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4.1.1. 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получатель субсидии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осуществляет деятельность на территории автономного округа;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4.1.2.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получатель субсидии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является оператором аэродрома, вертодрома и (или) посадочной площадки, находящихся в государственной собственности автономного округа (за исключением переданных на условиях концессионного соглашения);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non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4.1.3. п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риобретенные получателем субсидии  специальная техника и  оборудование соответствуют перечню специальной техники и оборудования, 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предусмотренному планом мероприятий по развитию материально-технической базы, включенному в стратегию развития получателя субсидии на соответствующий период  и приложению к Порядку; 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4.1.4. у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получателя субсидии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на едином налоговом счете отсутствует или не превышает размер, определенный пунктом 3 статьи 47 Налогового кодекса Российской Федерации, задолженность по уплате налогов, сборов и страховых взносов в бюджеты бюджетной системы Российской Федерации;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4.1.5.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получатель субсидии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 не находится в процессе реорганизации (за исключением реорганизации в форме присоединения к получателю субсидии другого юридического лица), ликвидации, в отношении него не введена процедура банкротства, деятельность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получателя субсидии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не приостановлена в порядке, предусмотренном законодательством Российской Федерации;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4.1.6.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>получатель субсидии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 не является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 (далее – офшорные компании), а также российским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обществ (в том числе со статусом международной компании), акции которых обращаются на организованных торгах в Российской Федерации, а также косвенное участие таких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>
      <w:pPr>
        <w:pStyle w:val="ConsPlusNormal"/>
        <w:shd w:val="clear" w:color="000000" w:fill="auto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4.1.7.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получатель субсидии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не получает средства из окружного бюджета в соответствии с иными нормативными правовыми актами автономного округа на цели, указанные в пункте 1.2 Порядка;</w:t>
      </w:r>
    </w:p>
    <w:p>
      <w:pPr>
        <w:pStyle w:val="ConsPlusNormal"/>
        <w:shd w:val="clear" w:color="000000" w:fill="auto"/>
        <w:ind w:firstLine="709" w:left="0" w:right="0"/>
        <w:jc w:val="both"/>
        <w:rPr>
          <w:rFonts w:ascii="Liberation Sans" w:hAnsi="Liberation Sans" w:cs="Liberation Sans"/>
          <w:color w:themeColor="text1" w:val="FF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4.1.8. у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</w:rPr>
        <w:t xml:space="preserve">получателя субсидии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отсутствует просроченная задолженность по возврату в окружной бюджет иных субсидий, бюджетных инвестиций, а также иная просроченная (неурегулированная) задолженность по денежным обязательствам перед автономным округом (за исключением случаев, установленных Правительством автономного округа); </w:t>
      </w:r>
    </w:p>
    <w:p>
      <w:pPr>
        <w:pStyle w:val="Style5"/>
        <w:ind w:firstLine="709" w:left="0" w:right="0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4.1.9. получатель субсидии не находится в перечне организаций и физических лиц, в отношении которых имеются сведения об их причастности к экстремистской деятельности или терроризму;</w:t>
      </w:r>
    </w:p>
    <w:p>
      <w:pPr>
        <w:pStyle w:val="Style5"/>
        <w:ind w:firstLine="709" w:left="0" w:right="0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4.1.10. получатель субсидии не находится в составляемых в рамках реализации полномочий, предусмотренных главой VII Устава ООН, Советом Безопасности ООН или органами, специально созданными решениями Совета Безопасности ООН, перечнях организаций и физических лиц, связанных с террористическими организациями и террористами или с распространением оружия массового уничтожения;</w:t>
      </w:r>
    </w:p>
    <w:p>
      <w:pPr>
        <w:pStyle w:val="Style5"/>
        <w:ind w:firstLine="709" w:left="0" w:right="0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4.1.11. получатель субсидии не является иностранным агентом в соответствии с Федеральным законом от 14 июля 2022 года № 255-ФЗ «О контроле за деятельностью лиц, находящихся под иностранным влиянием».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strike/>
          <w:color w:themeColor="text1" w:val="FF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4.2. Для участия в отборе получатель субсидии должен зарегистрироваться и (или) авторизоваться на едином портале. Доступ к системе «Электронный бюджет» осуществляется с использованием ЕСИА.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4.3. Для участия в отборе получатель субсидии в с даты, указанной в объявлении и не позднее 5-го календарного дня, следующего за днем размещения объявления, 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формирует заявку в электронной форме посредством заполнения соответствующих экранных форм веб-интерфейса системы «Электронный бюджет» и представления в систему «Электронный бюджет» электронных копий документов и материалов (на бумажном носителе, преобразованных в электронную форму путем сканирования)</w:t>
      </w:r>
      <w:r>
        <w:rPr>
          <w:rFonts w:eastAsia="Liberation Sans" w:cs="Liberation Sans" w:ascii="Liberation Sans" w:hAnsi="Liberation Sans"/>
          <w:b w:val="false"/>
          <w:i w:val="false"/>
          <w:strike w:val="false"/>
          <w:dstrike w:val="false"/>
          <w:color w:themeColor="text1" w:val="000000"/>
          <w:sz w:val="28"/>
          <w:highlight w:val="white"/>
          <w:lang w:val="ru-RU"/>
        </w:rPr>
        <w:t xml:space="preserve"> </w:t>
      </w:r>
      <w:r>
        <w:rPr>
          <w:rFonts w:eastAsia="LiberationSans" w:cs="Liberation Sans" w:ascii="Liberation Sans" w:hAnsi="Liberation Sans"/>
          <w:b w:val="false"/>
          <w:i w:val="false"/>
          <w:strike w:val="false"/>
          <w:dstrike w:val="false"/>
          <w:color w:themeColor="text1" w:val="000000"/>
          <w:sz w:val="26"/>
          <w:highlight w:val="white"/>
          <w:lang w:val="ru-RU"/>
        </w:rPr>
        <w:t>(далее -  электронные копии документов)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, представление которых предусмотрено пунктом 4.8 Порядка.</w:t>
      </w:r>
    </w:p>
    <w:p>
      <w:pPr>
        <w:pStyle w:val="Normal"/>
        <w:pBdr/>
        <w:spacing w:lineRule="atLeast" w:line="288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Заявка подписывается усиленной квалифицированной электронной подписью руководителя получателя субсидии или уполномоченного им лица </w:t>
      </w:r>
      <w:r>
        <w:rPr>
          <w:rFonts w:eastAsia="Liberation Sans" w:cs="Liberation Sans" w:ascii="Liberation Sans" w:hAnsi="Liberation Sans"/>
          <w:b w:val="false"/>
          <w:i w:val="false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в </w:t>
      </w:r>
      <w:r>
        <w:rPr>
          <w:rFonts w:eastAsia="LiberationSans" w:cs="Liberation Sans" w:ascii="Liberation Sans" w:hAnsi="Liberation Sans"/>
          <w:b w:val="false"/>
          <w:i w:val="false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 порядке, предусмотренном  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Федеральным законом от 06 апреля 2011 года № 63-ФЗ «Об электронной подписи».</w:t>
      </w:r>
    </w:p>
    <w:p>
      <w:pPr>
        <w:pStyle w:val="Normal"/>
        <w:pBdr/>
        <w:spacing w:lineRule="atLeast" w:line="288"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nsPlusNormal" w:customStyle="1">
    <w:name w:val="ConsPlusNormal"/>
    <w:qFormat/>
    <w:pPr>
      <w:keepNext w:val="false"/>
      <w:keepLines w:val="false"/>
      <w:pageBreakBefore w:val="false"/>
      <w:widowControl w:val="false"/>
      <w:pBdr/>
      <w:shd w:val="nil" w:color="000000"/>
      <w:bidi w:val="0"/>
      <w:spacing w:lineRule="auto" w:line="240" w:beforeAutospacing="0" w:before="0" w:afterAutospacing="0" w:after="0"/>
      <w:ind w:firstLine="720" w:left="0" w:right="0"/>
      <w:jc w:val="left"/>
    </w:pPr>
    <w:rPr>
      <w:rFonts w:ascii="Arial" w:hAnsi="Arial" w:eastAsia="Times New Roman" w:cs="Arial" w:cstheme="minorBid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0"/>
      <w:sz w:val="20"/>
      <w:szCs w:val="20"/>
      <w:u w:val="none"/>
      <w:vertAlign w:val="baseline"/>
      <w:lang w:val="ru-RU" w:eastAsia="ru-RU" w:bidi="ar-SA"/>
      <w14:ligatures w14:val="none"/>
    </w:rPr>
  </w:style>
  <w:style w:type="paragraph" w:styleId="Style5" w:customStyle="1">
    <w:name w:val="Нормальный"/>
    <w:qFormat/>
    <w:pPr>
      <w:keepNext w:val="false"/>
      <w:keepLines w:val="false"/>
      <w:pageBreakBefore w:val="false"/>
      <w:widowControl/>
      <w:pBdr/>
      <w:shd w:val="clear" w:color="000000" w:fill="auto"/>
      <w:bidi w:val="0"/>
      <w:spacing w:lineRule="auto" w:line="240" w:beforeAutospacing="0" w:before="0" w:afterAutospacing="0" w:after="0"/>
      <w:ind w:firstLine="720" w:left="0" w:right="0"/>
      <w:jc w:val="both"/>
    </w:pPr>
    <w:rPr>
      <w:rFonts w:ascii="TimesNewRoman" w:hAnsi="TimesNewRoman" w:eastAsia="TimesNewRoman" w:cs="TimesNew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2</Pages>
  <Words>595</Words>
  <Characters>4310</Characters>
  <CharactersWithSpaces>4904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2025-03-28T21:35:19Z</dcterms:modified>
  <cp:revision>2</cp:revision>
  <dc:subject/>
  <dc:title/>
</cp:coreProperties>
</file>