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color w:val="4A6A8A"/>
          <w:sz w:val="22"/>
        </w:rPr>
        <w:t>ESE HOSPITAL REGIONAL NOROCCIDENTAL</w:t>
      </w:r>
    </w:p>
    <w:p>
      <w:pPr>
        <w:jc w:val="center"/>
      </w:pPr>
      <w:r>
        <w:rPr>
          <w:color w:val="4A6A8A"/>
          <w:sz w:val="22"/>
        </w:rPr>
        <w:t>Coordinación de Salud Pública</w:t>
      </w:r>
    </w:p>
    <w:p/>
    <w:p>
      <w:pPr>
        <w:jc w:val="center"/>
      </w:pPr>
      <w:r>
        <w:rPr>
          <w:color w:val="1565C0"/>
          <w:sz w:val="32"/>
        </w:rPr>
        <w:t>Manual de uso</w:t>
      </w:r>
    </w:p>
    <w:p>
      <w:pPr>
        <w:jc w:val="center"/>
      </w:pPr>
      <w:r>
        <w:rPr>
          <w:b/>
          <w:color w:val="0F4C81"/>
          <w:sz w:val="56"/>
        </w:rPr>
        <w:t>Seguimiento de Cuentas de Cobro</w:t>
      </w:r>
    </w:p>
    <w:p>
      <w:pPr>
        <w:jc w:val="center"/>
      </w:pPr>
      <w:r>
        <w:rPr>
          <w:color w:val="4A6A8A"/>
          <w:sz w:val="23"/>
        </w:rPr>
        <w:t>Trazabilidad de los pagos a contratistas de EBS, Jóvenes en Paz, PIC Departamental, PIC Municipal y Vacunación</w:t>
      </w:r>
    </w:p>
    <w:p/>
    <w:p/>
    <w:p/>
    <w:p/>
    <w:p/>
    <w:p/>
    <w:p>
      <w:pPr>
        <w:jc w:val="center"/>
      </w:pPr>
      <w:r>
        <w:rPr>
          <w:color w:val="4A6A8A"/>
          <w:sz w:val="20"/>
        </w:rPr>
        <w:t>Portal de Salud Pública HRNO · Versión 1.1 · Octubre de 2026</w:t>
      </w:r>
    </w:p>
    <w:p>
      <w:pPr>
        <w:jc w:val="center"/>
      </w:pPr>
      <w:r>
        <w:rPr>
          <w:color w:val="1565C0"/>
          <w:sz w:val="19"/>
        </w:rPr>
        <w:t>https://danto0702.github.io/portal-salud-publica-hrno/</w:t>
      </w:r>
    </w:p>
    <w:p/>
    <w:p/>
    <w:p/>
    <w:p>
      <w:pPr>
        <w:jc w:val="center"/>
      </w:pPr>
      <w:r>
        <w:rPr>
          <w:color w:val="4A6A8A"/>
          <w:sz w:val="18"/>
        </w:rPr>
        <w:t xml:space="preserve">Desarrollado por  </w:t>
      </w:r>
      <w:r>
        <w:drawing>
          <wp:inline xmlns:a="http://schemas.openxmlformats.org/drawingml/2006/main" xmlns:pic="http://schemas.openxmlformats.org/drawingml/2006/picture">
            <wp:extent cx="1634400" cy="4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cal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4400" cy="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Contenido</w:t>
      </w:r>
    </w:p>
    <w:p>
      <w:pPr>
        <w:spacing w:after="80"/>
      </w:pPr>
      <w:r>
        <w:rPr>
          <w:sz w:val="22"/>
        </w:rPr>
        <w:t>1. Qué es el aplicativo</w:t>
      </w:r>
    </w:p>
    <w:p>
      <w:pPr>
        <w:spacing w:after="80"/>
      </w:pPr>
      <w:r>
        <w:rPr>
          <w:sz w:val="22"/>
        </w:rPr>
        <w:t>2. Cómo ingresar</w:t>
      </w:r>
    </w:p>
    <w:p>
      <w:pPr>
        <w:spacing w:after="80"/>
      </w:pPr>
      <w:r>
        <w:rPr>
          <w:sz w:val="22"/>
        </w:rPr>
        <w:t>3. Roles y permisos</w:t>
      </w:r>
    </w:p>
    <w:p>
      <w:pPr>
        <w:spacing w:after="80"/>
      </w:pPr>
      <w:r>
        <w:rPr>
          <w:sz w:val="22"/>
        </w:rPr>
        <w:t>4. El recorrido de una cuenta de cobro</w:t>
      </w:r>
    </w:p>
    <w:p>
      <w:pPr>
        <w:spacing w:after="80"/>
      </w:pPr>
      <w:r>
        <w:rPr>
          <w:sz w:val="22"/>
        </w:rPr>
        <w:t>5. Las pantallas del aplicativo</w:t>
      </w:r>
    </w:p>
    <w:p>
      <w:pPr>
        <w:spacing w:after="80"/>
      </w:pPr>
      <w:r>
        <w:rPr>
          <w:sz w:val="22"/>
        </w:rPr>
        <w:t>6. Qué hace cada proceso, paso a paso</w:t>
      </w:r>
    </w:p>
    <w:p>
      <w:pPr>
        <w:spacing w:after="80"/>
      </w:pPr>
      <w:r>
        <w:rPr>
          <w:sz w:val="22"/>
        </w:rPr>
        <w:t>7. Devoluciones</w:t>
      </w:r>
    </w:p>
    <w:p>
      <w:pPr>
        <w:spacing w:after="80"/>
      </w:pPr>
      <w:r>
        <w:rPr>
          <w:sz w:val="22"/>
        </w:rPr>
        <w:t>8. Contratos, plan de pagos y cargue masivo</w:t>
      </w:r>
    </w:p>
    <w:p>
      <w:pPr>
        <w:spacing w:after="80"/>
      </w:pPr>
      <w:r>
        <w:rPr>
          <w:sz w:val="22"/>
        </w:rPr>
        <w:t>9. Liquidación de contratos</w:t>
      </w:r>
    </w:p>
    <w:p>
      <w:pPr>
        <w:spacing w:after="80"/>
      </w:pPr>
      <w:r>
        <w:rPr>
          <w:sz w:val="22"/>
        </w:rPr>
        <w:t>10. Certificados de cumplimiento EBS</w:t>
      </w:r>
    </w:p>
    <w:p>
      <w:pPr>
        <w:spacing w:after="80"/>
      </w:pPr>
      <w:r>
        <w:rPr>
          <w:sz w:val="22"/>
        </w:rPr>
        <w:t>11. Exportar a Excel</w:t>
      </w:r>
    </w:p>
    <w:p>
      <w:pPr>
        <w:spacing w:after="80"/>
      </w:pPr>
      <w:r>
        <w:rPr>
          <w:sz w:val="22"/>
        </w:rPr>
        <w:t>12. Consulta del contratista</w:t>
      </w:r>
    </w:p>
    <w:p>
      <w:pPr>
        <w:spacing w:after="80"/>
      </w:pPr>
      <w:r>
        <w:rPr>
          <w:sz w:val="22"/>
        </w:rPr>
        <w:t>13. Administración de usuarios (superadministrador)</w:t>
      </w:r>
    </w:p>
    <w:p>
      <w:pPr>
        <w:spacing w:after="80"/>
      </w:pPr>
      <w:r>
        <w:rPr>
          <w:sz w:val="22"/>
        </w:rPr>
        <w:t>14. Preguntas frecuentes y solución de problemas</w:t>
      </w:r>
    </w:p>
    <w:p>
      <w:pPr>
        <w:pStyle w:val="Heading1"/>
        <w:pageBreakBefore/>
      </w:pPr>
      <w:r>
        <w:t>1. Qué es el aplicativo</w:t>
      </w:r>
    </w:p>
    <w:p>
      <w:r>
        <w:rPr>
          <w:b/>
        </w:rPr>
        <w:t>Seguimiento de Cuentas de Cobro</w:t>
      </w:r>
      <w:r>
        <w:t xml:space="preserve"> es un módulo del Portal de Salud Pública de la ESE Hospital Regional Noroccidental que permite saber, en todo momento, </w:t>
      </w:r>
      <w:r>
        <w:rPr>
          <w:b/>
        </w:rPr>
        <w:t>en qué proceso va cada cuenta de cobro</w:t>
      </w:r>
      <w:r>
        <w:t xml:space="preserve"> de los contratistas de la Oficina de Salud Pública, desde que el contratista la entrega hasta que Tesorería la paga.</w:t>
      </w:r>
    </w:p>
    <w:p>
      <w:r>
        <w:t>Reemplaza el seguimiento en hojas de Excel separadas por oficina. Todas las oficinas trabajan sobre la misma información en línea, y cada movimiento queda registrado con la fecha, el responsable y, cuando hay devoluciones, el motivo.</w:t>
      </w:r>
    </w:p>
    <w:p>
      <w:pPr>
        <w:pStyle w:val="Heading2"/>
      </w:pPr>
      <w:r>
        <w:t>Qué permite hacer</w:t>
      </w:r>
    </w:p>
    <w:p>
      <w:pPr>
        <w:pStyle w:val="ListBullet"/>
      </w:pPr>
      <w:r>
        <w:t xml:space="preserve">Llevar cada contrato dividido en sus pagos (una </w:t>
      </w:r>
      <w:r>
        <w:rPr>
          <w:b/>
        </w:rPr>
        <w:t>cuenta</w:t>
      </w:r>
      <w:r>
        <w:t xml:space="preserve"> es un pago del contrato).</w:t>
      </w:r>
    </w:p>
    <w:p>
      <w:pPr>
        <w:pStyle w:val="ListBullet"/>
      </w:pPr>
      <w:r>
        <w:t xml:space="preserve">Mover cada cuenta por los procesos en </w:t>
      </w:r>
      <w:r>
        <w:rPr>
          <w:b/>
        </w:rPr>
        <w:t>orden obligatorio</w:t>
      </w:r>
      <w:r>
        <w:t>: Salud Pública → Contratación → Subgerencia → Supervisión → SECOP II → Tesorería.</w:t>
      </w:r>
    </w:p>
    <w:p>
      <w:pPr>
        <w:pStyle w:val="ListBullet"/>
      </w:pPr>
      <w:r>
        <w:t xml:space="preserve">Devolver cuentas al contratista o a un proceso anterior, con </w:t>
      </w:r>
      <w:r>
        <w:rPr>
          <w:b/>
        </w:rPr>
        <w:t>motivo y fecha</w:t>
      </w:r>
      <w:r>
        <w:t>.</w:t>
      </w:r>
    </w:p>
    <w:p>
      <w:pPr>
        <w:pStyle w:val="ListBullet"/>
      </w:pPr>
      <w:r>
        <w:t xml:space="preserve">Ver en </w:t>
      </w:r>
      <w:r>
        <w:rPr>
          <w:b/>
        </w:rPr>
        <w:t>Mis pendientes</w:t>
      </w:r>
      <w:r>
        <w:t xml:space="preserve"> solo lo que le toca a cada oficina, con un </w:t>
      </w:r>
      <w:r>
        <w:rPr>
          <w:b/>
        </w:rPr>
        <w:t>semáforo</w:t>
      </w:r>
      <w:r>
        <w:t xml:space="preserve"> de días en el proceso.</w:t>
      </w:r>
    </w:p>
    <w:p>
      <w:pPr>
        <w:pStyle w:val="ListBullet"/>
      </w:pPr>
      <w:r>
        <w:t xml:space="preserve">Consultar un </w:t>
      </w:r>
      <w:r>
        <w:rPr>
          <w:b/>
        </w:rPr>
        <w:t>dashboard</w:t>
      </w:r>
      <w:r>
        <w:t xml:space="preserve"> con cuentas por proceso, valor pagado frente a pendiente, tiempos y devoluciones.</w:t>
      </w:r>
    </w:p>
    <w:p>
      <w:pPr>
        <w:pStyle w:val="ListBullet"/>
      </w:pPr>
      <w:r>
        <w:t>Registrar radicado, factura electrónica, estado en SECOP II, pago y número ND (certificado de egreso).</w:t>
      </w:r>
    </w:p>
    <w:p>
      <w:pPr>
        <w:pStyle w:val="ListBullet"/>
      </w:pPr>
      <w:r>
        <w:t>Liquidar contratos de personal que no cumple, por un valor específico (incluso $0).</w:t>
      </w:r>
    </w:p>
    <w:p>
      <w:pPr>
        <w:pStyle w:val="ListBullet"/>
      </w:pPr>
      <w:r>
        <w:t>Exportar la información al formato de seguimiento en Excel.</w:t>
      </w:r>
    </w:p>
    <w:p>
      <w:pPr>
        <w:pStyle w:val="ListBullet"/>
      </w:pPr>
      <w:r>
        <w:t>Que el contratista consulte con su cédula en qué va su cuenta, sin llamar a la oficina.</w:t>
      </w:r>
    </w:p>
    <w:p>
      <w:pPr>
        <w:pStyle w:val="Heading2"/>
      </w:pPr>
      <w:r>
        <w:t>Programas incluidos</w:t>
      </w:r>
    </w:p>
    <w:p>
      <w:r>
        <w:t>EBS (Resoluciones 0272 de 2026 y 0212 de 2025), Jóvenes en Paz (Res. 1008 de 2026), PIC Departamental, PIC Municipal y Vacunación. Los programas se administran desde la pestaña Administración.</w:t>
      </w:r>
    </w:p>
    <w:p>
      <w:pPr>
        <w:pStyle w:val="Heading1"/>
        <w:pageBreakBefore w:val="0"/>
        <w:spacing w:before="520"/>
      </w:pPr>
      <w:r>
        <w:t>2. Cómo ingresar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1.  </w:t>
      </w:r>
      <w:r>
        <w:t xml:space="preserve">Abra el Portal de Salud Pública: </w:t>
      </w:r>
      <w:r>
        <w:rPr>
          <w:b/>
        </w:rPr>
        <w:t>https://danto0702.github.io/portal-salud-publica-hrno/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2.  </w:t>
      </w:r>
      <w:r>
        <w:t xml:space="preserve">Inicie sesión con su </w:t>
      </w:r>
      <w:r>
        <w:rPr>
          <w:b/>
        </w:rPr>
        <w:t>correo</w:t>
      </w:r>
      <w:r>
        <w:t xml:space="preserve"> y la </w:t>
      </w:r>
      <w:r>
        <w:rPr>
          <w:b/>
        </w:rPr>
        <w:t>contraseña</w:t>
      </w:r>
      <w:r>
        <w:t xml:space="preserve"> que le entregó el superadministrador. La primera vez puede ser una contraseña provisional (del tipo ABCD-2345).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3.  </w:t>
      </w:r>
      <w:r>
        <w:t xml:space="preserve">En la página principal busque la tarjeta </w:t>
      </w:r>
      <w:r>
        <w:rPr>
          <w:b/>
        </w:rPr>
        <w:t>Seguimiento de Cuentas de Cobro</w:t>
      </w:r>
      <w:r>
        <w:t xml:space="preserve"> y haga clic en </w:t>
      </w:r>
      <w:r>
        <w:rPr>
          <w:b/>
        </w:rPr>
        <w:t>Seguimiento y dashboard</w:t>
      </w:r>
      <w:r>
        <w:t>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4.  </w:t>
      </w:r>
      <w:r>
        <w:t xml:space="preserve">El aplicativo reconoce su usuario y su rol. Si usted es editor de un proceso, se abre directamente en </w:t>
      </w:r>
      <w:r>
        <w:rPr>
          <w:b/>
        </w:rPr>
        <w:t>Mis pendientes</w:t>
      </w:r>
      <w:r>
        <w:t>.</w:t>
      </w:r>
    </w:p>
    <w:p>
      <w:r>
        <w:rPr>
          <w:color w:val="4A6A8A"/>
          <w:sz w:val="19"/>
        </w:rPr>
        <w:t>Enlace directo al módulo: https://danto0702.github.io/portal-salud-publica-hrno/SEGUIMIENTO%20CUENTAS%20DE%20COBRO/Cuentas_Cobro.html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right w:val="nil"/>
          <w:left w:val="single" w:sz="24" w:color="B45309"/>
        </w:tblBorders>
      </w:tblPr>
      <w:tblGrid>
        <w:gridCol w:w="9632"/>
      </w:tblGrid>
      <w:tr>
        <w:trPr>
          <w:cantSplit w:val="true"/>
        </w:trPr>
        <w:tc>
          <w:tcPr>
            <w:tcW w:type="dxa" w:w="9581"/>
            <w:shd w:val="clear" w:color="auto" w:fill="FFF6E5"/>
          </w:tcPr>
          <w:p>
            <w:pPr>
              <w:spacing w:after="60"/>
            </w:pPr>
            <w:r>
              <w:rPr>
                <w:b/>
                <w:sz w:val="20"/>
              </w:rPr>
              <w:t>¿Aparece "Sin acceso al módulo"?</w:t>
            </w:r>
            <w:r>
              <w:rPr>
                <w:sz w:val="20"/>
              </w:rPr>
              <w:t xml:space="preserve"> Su usuario del portal existe, pero todavía no tiene un rol en este módulo. Pida al superadministrador que se lo asigne.</w:t>
            </w:r>
          </w:p>
          <w:p>
            <w:pPr>
              <w:spacing w:after="60"/>
            </w:pPr>
            <w:r>
              <w:rPr>
                <w:b/>
                <w:sz w:val="20"/>
              </w:rPr>
              <w:t>¿Olvidó la contraseña?</w:t>
            </w:r>
            <w:r>
              <w:rPr>
                <w:sz w:val="20"/>
              </w:rPr>
              <w:t xml:space="preserve"> Pida al superadministrador una contraseña provisional nueva.</w:t>
            </w:r>
          </w:p>
        </w:tc>
      </w:tr>
    </w:tbl>
    <w:p>
      <w:pPr>
        <w:spacing w:after="40"/>
      </w:pPr>
    </w:p>
    <w:p>
      <w:pPr>
        <w:pStyle w:val="Heading2"/>
      </w:pPr>
      <w:r>
        <w:t>Elementos de la pantalla</w:t>
      </w:r>
    </w:p>
    <w:p>
      <w:pPr>
        <w:pStyle w:val="ListBullet"/>
      </w:pPr>
      <w:r>
        <w:rPr>
          <w:b/>
        </w:rPr>
        <w:t>Encabezado:</w:t>
      </w:r>
      <w:r>
        <w:t xml:space="preserve"> su nombre y su rol, el botón </w:t>
      </w:r>
      <w:r>
        <w:rPr>
          <w:b/>
        </w:rPr>
        <w:t>🔎 Consulta contratista</w:t>
      </w:r>
      <w:r>
        <w:t xml:space="preserve"> (abre la página pública), </w:t>
      </w:r>
      <w:r>
        <w:rPr>
          <w:b/>
        </w:rPr>
        <w:t>← Portal</w:t>
      </w:r>
      <w:r>
        <w:t xml:space="preserve"> y </w:t>
      </w:r>
      <w:r>
        <w:rPr>
          <w:b/>
        </w:rPr>
        <w:t>Salir</w:t>
      </w:r>
      <w:r>
        <w:t>.</w:t>
      </w:r>
    </w:p>
    <w:p>
      <w:pPr>
        <w:pStyle w:val="ListBullet"/>
      </w:pPr>
      <w:r>
        <w:rPr>
          <w:b/>
        </w:rPr>
        <w:t>Barra de filtros:</w:t>
      </w:r>
      <w:r>
        <w:t xml:space="preserve"> Programa, Resolución, Municipio, Proceso actual, Mes del periodo, No. pago y un buscador (cédula, nombre, contrato o radicado). Los filtros aplican a todas las pestañas. </w:t>
      </w:r>
      <w:r>
        <w:rPr>
          <w:b/>
        </w:rPr>
        <w:t>Limpiar</w:t>
      </w:r>
      <w:r>
        <w:t xml:space="preserve"> los quita.</w:t>
      </w:r>
    </w:p>
    <w:p>
      <w:pPr>
        <w:pStyle w:val="ListBullet"/>
      </w:pPr>
      <w:r>
        <w:rPr>
          <w:b/>
        </w:rPr>
        <w:t>Pestañas:</w:t>
      </w:r>
      <w:r>
        <w:t xml:space="preserve"> Dashboard, Mis pendientes, Cuentas, Contratos, Cargue masivo y Administración (según su rol).</w:t>
      </w:r>
    </w:p>
    <w:p>
      <w:pPr>
        <w:pStyle w:val="ListBullet"/>
      </w:pPr>
      <w:r>
        <w:rPr>
          <w:b/>
        </w:rPr>
        <w:t>Pie:</w:t>
      </w:r>
      <w:r>
        <w:t xml:space="preserve"> firma del desarrollador (By PascalIA). Al cambiar de pestaña, el logotipo aparece brevemente.</w:t>
      </w:r>
    </w:p>
    <w:p>
      <w:pPr>
        <w:pStyle w:val="Heading1"/>
        <w:pageBreakBefore w:val="0"/>
        <w:spacing w:before="520"/>
      </w:pPr>
      <w:r>
        <w:t>3. Roles y permisos</w:t>
      </w:r>
    </w:p>
    <w:p>
      <w:r>
        <w:t xml:space="preserve">Cada usuario tiene un solo rol en el módulo. Los editores </w:t>
      </w:r>
      <w:r>
        <w:rPr>
          <w:b/>
        </w:rPr>
        <w:t>solo pueden actuar sobre las cuentas que están en su proceso</w:t>
      </w:r>
      <w:r>
        <w:t>; las demás las ven, pero no pueden modificarlas. Esta regla la controla la base de datos, no solo la pantalla.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6E5"/>
          <w:left w:val="single" w:sz="4" w:color="C9D6E5"/>
          <w:bottom w:val="single" w:sz="4" w:color="C9D6E5"/>
          <w:right w:val="single" w:sz="4" w:color="C9D6E5"/>
          <w:insideH w:val="single" w:sz="4" w:color="C9D6E5"/>
          <w:insideV w:val="single" w:sz="4" w:color="C9D6E5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041"/>
            <w:shd w:val="clear" w:color="auto" w:fill="0F4C81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1134"/>
            <w:shd w:val="clear" w:color="auto" w:fill="0F4C81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Qué ve</w:t>
            </w:r>
          </w:p>
        </w:tc>
        <w:tc>
          <w:tcPr>
            <w:tcW w:type="dxa" w:w="6406"/>
            <w:shd w:val="clear" w:color="auto" w:fill="0F4C81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Qué puede hacer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after="40"/>
            </w:pPr>
            <w:r>
              <w:rPr>
                <w:b/>
                <w:sz w:val="19"/>
              </w:rPr>
              <w:t>Superadministrador</w:t>
            </w:r>
          </w:p>
        </w:tc>
        <w:tc>
          <w:tcPr>
            <w:tcW w:type="dxa" w:w="1134"/>
            <w:vAlign w:val="top"/>
          </w:tcPr>
          <w:p>
            <w:pPr>
              <w:spacing w:after="40"/>
            </w:pPr>
            <w:r>
              <w:rPr>
                <w:sz w:val="19"/>
              </w:rPr>
              <w:t>Todo</w:t>
            </w:r>
          </w:p>
        </w:tc>
        <w:tc>
          <w:tcPr>
            <w:tcW w:type="dxa" w:w="6406"/>
            <w:vAlign w:val="top"/>
          </w:tcPr>
          <w:p>
            <w:pPr>
              <w:spacing w:after="40"/>
            </w:pPr>
            <w:r>
              <w:rPr>
                <w:sz w:val="19"/>
              </w:rPr>
              <w:t>Todo: actuar en cualquier proceso, corregir datos, mover cuentas, crear usuarios, liquidar y revertir liquidaciones, borrar certificados, exportar a Excel, eliminar contratos.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b/>
                <w:sz w:val="19"/>
              </w:rPr>
              <w:t>Editor · Salud Pública</w:t>
            </w:r>
          </w:p>
        </w:tc>
        <w:tc>
          <w:tcPr>
            <w:tcW w:type="dxa" w:w="1134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Todo</w:t>
            </w:r>
          </w:p>
        </w:tc>
        <w:tc>
          <w:tcPr>
            <w:tcW w:type="dxa" w:w="6406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 xml:space="preserve">Registrar la recepción de las cuentas que entrega el contratista, hacer el </w:t>
            </w:r>
            <w:r>
              <w:rPr>
                <w:b/>
                <w:sz w:val="19"/>
              </w:rPr>
              <w:t>1er filtro</w:t>
            </w:r>
            <w:r>
              <w:rPr>
                <w:sz w:val="19"/>
              </w:rPr>
              <w:t>, crear y editar contratos y planes de pago, hacer el cargue masivo, registrar observaciones.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after="40"/>
            </w:pPr>
            <w:r>
              <w:rPr>
                <w:b/>
                <w:sz w:val="19"/>
              </w:rPr>
              <w:t>Editor · Contratación</w:t>
            </w:r>
          </w:p>
        </w:tc>
        <w:tc>
          <w:tcPr>
            <w:tcW w:type="dxa" w:w="1134"/>
            <w:vAlign w:val="top"/>
          </w:tcPr>
          <w:p>
            <w:pPr>
              <w:spacing w:after="40"/>
            </w:pPr>
            <w:r>
              <w:rPr>
                <w:sz w:val="19"/>
              </w:rPr>
              <w:t>Todo</w:t>
            </w:r>
          </w:p>
        </w:tc>
        <w:tc>
          <w:tcPr>
            <w:tcW w:type="dxa" w:w="6406"/>
            <w:vAlign w:val="top"/>
          </w:tcPr>
          <w:p>
            <w:pPr>
              <w:spacing w:after="40"/>
            </w:pPr>
            <w:r>
              <w:rPr>
                <w:sz w:val="19"/>
              </w:rPr>
              <w:t xml:space="preserve">Hacer el </w:t>
            </w:r>
            <w:r>
              <w:rPr>
                <w:b/>
                <w:sz w:val="19"/>
              </w:rPr>
              <w:t>2do filtro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liquidar contratos</w:t>
            </w:r>
            <w:r>
              <w:rPr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b/>
                <w:sz w:val="19"/>
              </w:rPr>
              <w:t>Editor · Subgerencia</w:t>
            </w:r>
          </w:p>
        </w:tc>
        <w:tc>
          <w:tcPr>
            <w:tcW w:type="dxa" w:w="1134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Todo</w:t>
            </w:r>
          </w:p>
        </w:tc>
        <w:tc>
          <w:tcPr>
            <w:tcW w:type="dxa" w:w="6406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 xml:space="preserve">Diligenciar, </w:t>
            </w:r>
            <w:r>
              <w:rPr>
                <w:b/>
                <w:sz w:val="19"/>
              </w:rPr>
              <w:t>en exclusiva</w:t>
            </w:r>
            <w:r>
              <w:rPr>
                <w:sz w:val="19"/>
              </w:rPr>
              <w:t xml:space="preserve">, el </w:t>
            </w:r>
            <w:r>
              <w:rPr>
                <w:b/>
                <w:sz w:val="19"/>
              </w:rPr>
              <w:t>número de radicado</w:t>
            </w:r>
            <w:r>
              <w:rPr>
                <w:sz w:val="19"/>
              </w:rPr>
              <w:t xml:space="preserve"> y la </w:t>
            </w:r>
            <w:r>
              <w:rPr>
                <w:b/>
                <w:sz w:val="19"/>
              </w:rPr>
              <w:t>fecha de notificación al contratista</w:t>
            </w:r>
            <w:r>
              <w:rPr>
                <w:sz w:val="19"/>
              </w:rPr>
              <w:t xml:space="preserve">. Hacer el </w:t>
            </w:r>
            <w:r>
              <w:rPr>
                <w:b/>
                <w:sz w:val="19"/>
              </w:rPr>
              <w:t>3er filtro</w:t>
            </w:r>
            <w:r>
              <w:rPr>
                <w:sz w:val="19"/>
              </w:rPr>
              <w:t xml:space="preserve"> (factura electrónica), la </w:t>
            </w:r>
            <w:r>
              <w:rPr>
                <w:b/>
                <w:sz w:val="19"/>
              </w:rPr>
              <w:t>supervisión</w:t>
            </w:r>
            <w:r>
              <w:rPr>
                <w:sz w:val="19"/>
              </w:rPr>
              <w:t xml:space="preserve">, registrar el estado en </w:t>
            </w:r>
            <w:r>
              <w:rPr>
                <w:b/>
                <w:sz w:val="19"/>
              </w:rPr>
              <w:t>SECOP II</w:t>
            </w:r>
            <w:r>
              <w:rPr>
                <w:sz w:val="19"/>
              </w:rPr>
              <w:t xml:space="preserve"> y las casillas de control (presupuesto, correo).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after="40"/>
            </w:pPr>
            <w:r>
              <w:rPr>
                <w:b/>
                <w:sz w:val="19"/>
              </w:rPr>
              <w:t>Editor · Tesorería</w:t>
            </w:r>
          </w:p>
        </w:tc>
        <w:tc>
          <w:tcPr>
            <w:tcW w:type="dxa" w:w="1134"/>
            <w:vAlign w:val="top"/>
          </w:tcPr>
          <w:p>
            <w:pPr>
              <w:spacing w:after="40"/>
            </w:pPr>
            <w:r>
              <w:rPr>
                <w:sz w:val="19"/>
              </w:rPr>
              <w:t>Todo</w:t>
            </w:r>
          </w:p>
        </w:tc>
        <w:tc>
          <w:tcPr>
            <w:tcW w:type="dxa" w:w="6406"/>
            <w:vAlign w:val="top"/>
          </w:tcPr>
          <w:p>
            <w:pPr>
              <w:spacing w:after="40"/>
            </w:pPr>
            <w:r>
              <w:rPr>
                <w:sz w:val="19"/>
              </w:rPr>
              <w:t xml:space="preserve">Registrar el </w:t>
            </w:r>
            <w:r>
              <w:rPr>
                <w:b/>
                <w:sz w:val="19"/>
              </w:rPr>
              <w:t>pago</w:t>
            </w:r>
            <w:r>
              <w:rPr>
                <w:sz w:val="19"/>
              </w:rPr>
              <w:t>: valor pagado, fecha y número ND (certificado de egreso).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b/>
                <w:sz w:val="19"/>
              </w:rPr>
              <w:t>Lector</w:t>
            </w:r>
          </w:p>
        </w:tc>
        <w:tc>
          <w:tcPr>
            <w:tcW w:type="dxa" w:w="1134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Todo</w:t>
            </w:r>
          </w:p>
        </w:tc>
        <w:tc>
          <w:tcPr>
            <w:tcW w:type="dxa" w:w="6406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Solo consultar. No modifica nada.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right w:val="nil"/>
          <w:left w:val="single" w:sz="24" w:color="1565C0"/>
        </w:tblBorders>
      </w:tblPr>
      <w:tblGrid>
        <w:gridCol w:w="9632"/>
      </w:tblGrid>
      <w:tr>
        <w:trPr>
          <w:cantSplit w:val="true"/>
        </w:trPr>
        <w:tc>
          <w:tcPr>
            <w:tcW w:type="dxa" w:w="9581"/>
            <w:shd w:val="clear" w:color="auto" w:fill="EAF2FB"/>
          </w:tcPr>
          <w:p>
            <w:pPr>
              <w:spacing w:after="60"/>
            </w:pPr>
            <w:r>
              <w:rPr>
                <w:sz w:val="20"/>
              </w:rPr>
              <w:t xml:space="preserve">Varios usuarios pueden tener el mismo rol (por ejemplo, dos editores de Subgerencia). En el historial de cada cuenta queda el </w:t>
            </w:r>
            <w:r>
              <w:rPr>
                <w:b/>
                <w:sz w:val="20"/>
              </w:rPr>
              <w:t>nombre completo y el rol</w:t>
            </w:r>
            <w:r>
              <w:rPr>
                <w:sz w:val="20"/>
              </w:rPr>
              <w:t xml:space="preserve"> de quien hizo cada acción.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4. El recorrido de una cuenta de cobro</w:t>
      </w:r>
    </w:p>
    <w:p>
      <w:r>
        <w:t xml:space="preserve">Cada contrato se divide en </w:t>
      </w:r>
      <w:r>
        <w:rPr>
          <w:b/>
        </w:rPr>
        <w:t>pagos</w:t>
      </w:r>
      <w:r>
        <w:t xml:space="preserve"> (normalmente entre 2 y 6). Cada pago es una </w:t>
      </w:r>
      <w:r>
        <w:rPr>
          <w:b/>
        </w:rPr>
        <w:t>cuenta</w:t>
      </w:r>
      <w:r>
        <w:t xml:space="preserve"> que recorre los procesos en este orden, sin saltarse ninguno: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6E5"/>
          <w:left w:val="single" w:sz="4" w:color="C9D6E5"/>
          <w:bottom w:val="single" w:sz="4" w:color="C9D6E5"/>
          <w:right w:val="single" w:sz="4" w:color="C9D6E5"/>
          <w:insideH w:val="single" w:sz="4" w:color="C9D6E5"/>
          <w:insideV w:val="single" w:sz="4" w:color="C9D6E5"/>
        </w:tblBorders>
      </w:tblPr>
      <w:tblGrid>
        <w:gridCol w:w="1926"/>
        <w:gridCol w:w="1926"/>
        <w:gridCol w:w="1926"/>
        <w:gridCol w:w="1926"/>
        <w:gridCol w:w="1926"/>
      </w:tblGrid>
      <w:tr>
        <w:trPr>
          <w:tblHeader w:val="true"/>
        </w:trPr>
        <w:tc>
          <w:tcPr>
            <w:tcW w:type="dxa" w:w="397"/>
            <w:shd w:val="clear" w:color="auto" w:fill="0F4C81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474"/>
            <w:shd w:val="clear" w:color="auto" w:fill="0F4C81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Proceso</w:t>
            </w:r>
          </w:p>
        </w:tc>
        <w:tc>
          <w:tcPr>
            <w:tcW w:type="dxa" w:w="1757"/>
            <w:shd w:val="clear" w:color="auto" w:fill="0F4C81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4989"/>
            <w:shd w:val="clear" w:color="auto" w:fill="0F4C81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964"/>
            <w:shd w:val="clear" w:color="auto" w:fill="0F4C81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Plazo*</w:t>
            </w:r>
          </w:p>
        </w:tc>
      </w:tr>
      <w:tr>
        <w:trPr>
          <w:cantSplit w:val="true"/>
        </w:trPr>
        <w:tc>
          <w:tcPr>
            <w:tcW w:type="dxa" w:w="397"/>
            <w:vAlign w:val="top"/>
          </w:tcPr>
          <w:p>
            <w:pPr>
              <w:spacing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474"/>
            <w:vAlign w:val="top"/>
          </w:tcPr>
          <w:p>
            <w:pPr>
              <w:spacing w:after="40"/>
            </w:pPr>
            <w:r>
              <w:rPr>
                <w:b/>
                <w:sz w:val="19"/>
              </w:rPr>
              <w:t>Contratista</w:t>
            </w:r>
          </w:p>
        </w:tc>
        <w:tc>
          <w:tcPr>
            <w:tcW w:type="dxa" w:w="1757"/>
            <w:vAlign w:val="top"/>
          </w:tcPr>
          <w:p>
            <w:pPr>
              <w:spacing w:after="40"/>
            </w:pPr>
            <w:r>
              <w:rPr>
                <w:sz w:val="19"/>
              </w:rPr>
              <w:t>Salud Pública registra la recepción</w:t>
            </w:r>
          </w:p>
        </w:tc>
        <w:tc>
          <w:tcPr>
            <w:tcW w:type="dxa" w:w="4989"/>
            <w:vAlign w:val="top"/>
          </w:tcPr>
          <w:p>
            <w:pPr>
              <w:spacing w:after="40"/>
            </w:pPr>
            <w:r>
              <w:rPr>
                <w:sz w:val="19"/>
              </w:rPr>
              <w:t xml:space="preserve">La cuenta está en manos del contratista: aún no la entrega (periodo en curso o por entregar) o fue </w:t>
            </w:r>
            <w:r>
              <w:rPr>
                <w:b/>
                <w:sz w:val="19"/>
              </w:rPr>
              <w:t>devuelta</w:t>
            </w:r>
            <w:r>
              <w:rPr>
                <w:sz w:val="19"/>
              </w:rPr>
              <w:t xml:space="preserve"> para corregir.</w:t>
            </w:r>
          </w:p>
        </w:tc>
        <w:tc>
          <w:tcPr>
            <w:tcW w:type="dxa" w:w="964"/>
            <w:vAlign w:val="top"/>
          </w:tcPr>
          <w:p>
            <w:pPr>
              <w:spacing w:after="40"/>
            </w:pPr>
            <w:r>
              <w:rPr>
                <w:sz w:val="19"/>
              </w:rPr>
              <w:t>5 d</w:t>
            </w:r>
          </w:p>
        </w:tc>
      </w:tr>
      <w:tr>
        <w:trPr>
          <w:cantSplit w:val="true"/>
        </w:trPr>
        <w:tc>
          <w:tcPr>
            <w:tcW w:type="dxa" w:w="397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474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b/>
                <w:sz w:val="19"/>
              </w:rPr>
              <w:t>Salud Pública</w:t>
            </w:r>
          </w:p>
        </w:tc>
        <w:tc>
          <w:tcPr>
            <w:tcW w:type="dxa" w:w="1757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Salud Pública</w:t>
            </w:r>
          </w:p>
        </w:tc>
        <w:tc>
          <w:tcPr>
            <w:tcW w:type="dxa" w:w="4989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1er filtro: revisión de la cuenta y sus soportes.</w:t>
            </w:r>
          </w:p>
        </w:tc>
        <w:tc>
          <w:tcPr>
            <w:tcW w:type="dxa" w:w="964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3 d</w:t>
            </w:r>
          </w:p>
        </w:tc>
      </w:tr>
      <w:tr>
        <w:trPr>
          <w:cantSplit w:val="true"/>
        </w:trPr>
        <w:tc>
          <w:tcPr>
            <w:tcW w:type="dxa" w:w="397"/>
            <w:vAlign w:val="top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474"/>
            <w:vAlign w:val="top"/>
          </w:tcPr>
          <w:p>
            <w:pPr>
              <w:spacing w:after="40"/>
            </w:pPr>
            <w:r>
              <w:rPr>
                <w:b/>
                <w:sz w:val="19"/>
              </w:rPr>
              <w:t>Contratación</w:t>
            </w:r>
          </w:p>
        </w:tc>
        <w:tc>
          <w:tcPr>
            <w:tcW w:type="dxa" w:w="1757"/>
            <w:vAlign w:val="top"/>
          </w:tcPr>
          <w:p>
            <w:pPr>
              <w:spacing w:after="40"/>
            </w:pPr>
            <w:r>
              <w:rPr>
                <w:sz w:val="19"/>
              </w:rPr>
              <w:t>Contratación</w:t>
            </w:r>
          </w:p>
        </w:tc>
        <w:tc>
          <w:tcPr>
            <w:tcW w:type="dxa" w:w="4989"/>
            <w:vAlign w:val="top"/>
          </w:tcPr>
          <w:p>
            <w:pPr>
              <w:spacing w:after="40"/>
            </w:pPr>
            <w:r>
              <w:rPr>
                <w:sz w:val="19"/>
              </w:rPr>
              <w:t>2do filtro.</w:t>
            </w:r>
          </w:p>
        </w:tc>
        <w:tc>
          <w:tcPr>
            <w:tcW w:type="dxa" w:w="964"/>
            <w:vAlign w:val="top"/>
          </w:tcPr>
          <w:p>
            <w:pPr>
              <w:spacing w:after="40"/>
            </w:pPr>
            <w:r>
              <w:rPr>
                <w:sz w:val="19"/>
              </w:rPr>
              <w:t>3 d</w:t>
            </w:r>
          </w:p>
        </w:tc>
      </w:tr>
      <w:tr>
        <w:trPr>
          <w:cantSplit w:val="true"/>
        </w:trPr>
        <w:tc>
          <w:tcPr>
            <w:tcW w:type="dxa" w:w="397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474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b/>
                <w:sz w:val="19"/>
              </w:rPr>
              <w:t>Subgerencia</w:t>
            </w:r>
          </w:p>
        </w:tc>
        <w:tc>
          <w:tcPr>
            <w:tcW w:type="dxa" w:w="1757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Subgerencia</w:t>
            </w:r>
          </w:p>
        </w:tc>
        <w:tc>
          <w:tcPr>
            <w:tcW w:type="dxa" w:w="4989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 xml:space="preserve">3er filtro. Se asigna </w:t>
            </w:r>
            <w:r>
              <w:rPr>
                <w:b/>
                <w:sz w:val="19"/>
              </w:rPr>
              <w:t>número de radicado</w:t>
            </w:r>
            <w:r>
              <w:rPr>
                <w:sz w:val="19"/>
              </w:rPr>
              <w:t xml:space="preserve"> y </w:t>
            </w:r>
            <w:r>
              <w:rPr>
                <w:b/>
                <w:sz w:val="19"/>
              </w:rPr>
              <w:t>factura electrónica</w:t>
            </w:r>
            <w:r>
              <w:rPr>
                <w:sz w:val="19"/>
              </w:rPr>
              <w:t xml:space="preserve"> (obligatorios para aprobar).</w:t>
            </w:r>
          </w:p>
        </w:tc>
        <w:tc>
          <w:tcPr>
            <w:tcW w:type="dxa" w:w="964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3 d</w:t>
            </w:r>
          </w:p>
        </w:tc>
      </w:tr>
      <w:tr>
        <w:trPr>
          <w:cantSplit w:val="true"/>
        </w:trPr>
        <w:tc>
          <w:tcPr>
            <w:tcW w:type="dxa" w:w="397"/>
            <w:vAlign w:val="top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474"/>
            <w:vAlign w:val="top"/>
          </w:tcPr>
          <w:p>
            <w:pPr>
              <w:spacing w:after="40"/>
            </w:pPr>
            <w:r>
              <w:rPr>
                <w:b/>
                <w:sz w:val="19"/>
              </w:rPr>
              <w:t>Supervisión</w:t>
            </w:r>
          </w:p>
        </w:tc>
        <w:tc>
          <w:tcPr>
            <w:tcW w:type="dxa" w:w="1757"/>
            <w:vAlign w:val="top"/>
          </w:tcPr>
          <w:p>
            <w:pPr>
              <w:spacing w:after="40"/>
            </w:pPr>
            <w:r>
              <w:rPr>
                <w:sz w:val="19"/>
              </w:rPr>
              <w:t>Subgerencia</w:t>
            </w:r>
          </w:p>
        </w:tc>
        <w:tc>
          <w:tcPr>
            <w:tcW w:type="dxa" w:w="4989"/>
            <w:vAlign w:val="top"/>
          </w:tcPr>
          <w:p>
            <w:pPr>
              <w:spacing w:after="40"/>
            </w:pPr>
            <w:r>
              <w:rPr>
                <w:sz w:val="19"/>
              </w:rPr>
              <w:t>Revisión de supervisión.</w:t>
            </w:r>
          </w:p>
        </w:tc>
        <w:tc>
          <w:tcPr>
            <w:tcW w:type="dxa" w:w="964"/>
            <w:vAlign w:val="top"/>
          </w:tcPr>
          <w:p>
            <w:pPr>
              <w:spacing w:after="40"/>
            </w:pPr>
            <w:r>
              <w:rPr>
                <w:sz w:val="19"/>
              </w:rPr>
              <w:t>3 d</w:t>
            </w:r>
          </w:p>
        </w:tc>
      </w:tr>
      <w:tr>
        <w:trPr>
          <w:cantSplit w:val="true"/>
        </w:trPr>
        <w:tc>
          <w:tcPr>
            <w:tcW w:type="dxa" w:w="397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474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b/>
                <w:sz w:val="19"/>
              </w:rPr>
              <w:t>SECOP II</w:t>
            </w:r>
          </w:p>
        </w:tc>
        <w:tc>
          <w:tcPr>
            <w:tcW w:type="dxa" w:w="1757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Subgerencia</w:t>
            </w:r>
          </w:p>
        </w:tc>
        <w:tc>
          <w:tcPr>
            <w:tcW w:type="dxa" w:w="4989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Subgerencia envía soportes y factura al contratista; el contratista carga en SECOP II e informa por correo. Estado: Pendiente → Publicado → Aprobado.</w:t>
            </w:r>
          </w:p>
        </w:tc>
        <w:tc>
          <w:tcPr>
            <w:tcW w:type="dxa" w:w="964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5 d</w:t>
            </w:r>
          </w:p>
        </w:tc>
      </w:tr>
      <w:tr>
        <w:trPr>
          <w:cantSplit w:val="true"/>
        </w:trPr>
        <w:tc>
          <w:tcPr>
            <w:tcW w:type="dxa" w:w="397"/>
            <w:vAlign w:val="top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474"/>
            <w:vAlign w:val="top"/>
          </w:tcPr>
          <w:p>
            <w:pPr>
              <w:spacing w:after="40"/>
            </w:pPr>
            <w:r>
              <w:rPr>
                <w:b/>
                <w:sz w:val="19"/>
              </w:rPr>
              <w:t>Tesorería</w:t>
            </w:r>
          </w:p>
        </w:tc>
        <w:tc>
          <w:tcPr>
            <w:tcW w:type="dxa" w:w="1757"/>
            <w:vAlign w:val="top"/>
          </w:tcPr>
          <w:p>
            <w:pPr>
              <w:spacing w:after="40"/>
            </w:pPr>
            <w:r>
              <w:rPr>
                <w:sz w:val="19"/>
              </w:rPr>
              <w:t>Tesorería</w:t>
            </w:r>
          </w:p>
        </w:tc>
        <w:tc>
          <w:tcPr>
            <w:tcW w:type="dxa" w:w="4989"/>
            <w:vAlign w:val="top"/>
          </w:tcPr>
          <w:p>
            <w:pPr>
              <w:spacing w:after="40"/>
            </w:pPr>
            <w:r>
              <w:rPr>
                <w:sz w:val="19"/>
              </w:rPr>
              <w:t xml:space="preserve">Pago: valor pagado, fecha y </w:t>
            </w:r>
            <w:r>
              <w:rPr>
                <w:b/>
                <w:sz w:val="19"/>
              </w:rPr>
              <w:t>número ND</w:t>
            </w:r>
            <w:r>
              <w:rPr>
                <w:sz w:val="19"/>
              </w:rPr>
              <w:t xml:space="preserve"> (certificado de egreso).</w:t>
            </w:r>
          </w:p>
        </w:tc>
        <w:tc>
          <w:tcPr>
            <w:tcW w:type="dxa" w:w="964"/>
            <w:vAlign w:val="top"/>
          </w:tcPr>
          <w:p>
            <w:pPr>
              <w:spacing w:after="40"/>
            </w:pPr>
            <w:r>
              <w:rPr>
                <w:sz w:val="19"/>
              </w:rPr>
              <w:t>5 d</w:t>
            </w:r>
          </w:p>
        </w:tc>
      </w:tr>
      <w:tr>
        <w:trPr>
          <w:cantSplit w:val="true"/>
        </w:trPr>
        <w:tc>
          <w:tcPr>
            <w:tcW w:type="dxa" w:w="397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474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b/>
                <w:sz w:val="19"/>
              </w:rPr>
              <w:t>Pagada</w:t>
            </w:r>
          </w:p>
        </w:tc>
        <w:tc>
          <w:tcPr>
            <w:tcW w:type="dxa" w:w="1757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4989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Proceso terminado.</w:t>
            </w:r>
          </w:p>
        </w:tc>
        <w:tc>
          <w:tcPr>
            <w:tcW w:type="dxa" w:w="964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r>
        <w:rPr>
          <w:color w:val="4A6A8A"/>
          <w:sz w:val="18"/>
        </w:rPr>
        <w:t>* Plazos por defecto del semáforo, en días calendario. El superadministrador los ajusta en Administración.</w:t>
      </w:r>
    </w:p>
    <w:p>
      <w:pPr>
        <w:pStyle w:val="Heading2"/>
      </w:pPr>
      <w:r>
        <w:t>El semáforo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6E5"/>
          <w:left w:val="single" w:sz="4" w:color="C9D6E5"/>
          <w:bottom w:val="single" w:sz="4" w:color="C9D6E5"/>
          <w:right w:val="single" w:sz="4" w:color="C9D6E5"/>
          <w:insideH w:val="single" w:sz="4" w:color="C9D6E5"/>
          <w:insideV w:val="single" w:sz="4" w:color="C9D6E5"/>
        </w:tblBorders>
      </w:tblPr>
      <w:tblGrid>
        <w:gridCol w:w="4816"/>
        <w:gridCol w:w="4816"/>
      </w:tblGrid>
      <w:tr>
        <w:trPr>
          <w:tblHeader w:val="true"/>
        </w:trPr>
        <w:tc>
          <w:tcPr>
            <w:tcW w:type="dxa" w:w="2835"/>
            <w:shd w:val="clear" w:color="auto" w:fill="0F4C81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Color</w:t>
            </w:r>
          </w:p>
        </w:tc>
        <w:tc>
          <w:tcPr>
            <w:tcW w:type="dxa" w:w="6746"/>
            <w:shd w:val="clear" w:color="auto" w:fill="0F4C81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</w:tcPr>
          <w:p>
            <w:pPr>
              <w:spacing w:after="40"/>
            </w:pPr>
            <w:r>
              <w:rPr>
                <w:sz w:val="19"/>
              </w:rPr>
              <w:t xml:space="preserve">● </w:t>
            </w:r>
            <w:r>
              <w:rPr>
                <w:b/>
                <w:sz w:val="19"/>
              </w:rPr>
              <w:t>Verde</w:t>
            </w:r>
            <w:r>
              <w:rPr>
                <w:sz w:val="19"/>
              </w:rPr>
              <w:t xml:space="preserve"> – a tiempo</w:t>
            </w:r>
          </w:p>
        </w:tc>
        <w:tc>
          <w:tcPr>
            <w:tcW w:type="dxa" w:w="6746"/>
            <w:vAlign w:val="top"/>
          </w:tcPr>
          <w:p>
            <w:pPr>
              <w:spacing w:after="40"/>
            </w:pPr>
            <w:r>
              <w:rPr>
                <w:sz w:val="19"/>
              </w:rPr>
              <w:t>La cuenta lleva menos días que el plazo del proceso.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 xml:space="preserve">▲ </w:t>
            </w:r>
            <w:r>
              <w:rPr>
                <w:b/>
                <w:sz w:val="19"/>
              </w:rPr>
              <w:t>Amarillo</w:t>
            </w:r>
            <w:r>
              <w:rPr>
                <w:sz w:val="19"/>
              </w:rPr>
              <w:t xml:space="preserve"> – en el límite</w:t>
            </w:r>
          </w:p>
        </w:tc>
        <w:tc>
          <w:tcPr>
            <w:tcW w:type="dxa" w:w="6746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Cumple hoy el plazo.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</w:tcPr>
          <w:p>
            <w:pPr>
              <w:spacing w:after="40"/>
            </w:pPr>
            <w:r>
              <w:rPr>
                <w:sz w:val="19"/>
              </w:rPr>
              <w:t xml:space="preserve">■ </w:t>
            </w:r>
            <w:r>
              <w:rPr>
                <w:b/>
                <w:sz w:val="19"/>
              </w:rPr>
              <w:t>Rojo</w:t>
            </w:r>
            <w:r>
              <w:rPr>
                <w:sz w:val="19"/>
              </w:rPr>
              <w:t xml:space="preserve"> – vencida</w:t>
            </w:r>
          </w:p>
        </w:tc>
        <w:tc>
          <w:tcPr>
            <w:tcW w:type="dxa" w:w="6746"/>
            <w:vAlign w:val="top"/>
          </w:tcPr>
          <w:p>
            <w:pPr>
              <w:spacing w:after="40"/>
            </w:pPr>
            <w:r>
              <w:rPr>
                <w:sz w:val="19"/>
              </w:rPr>
              <w:t>Superó el plazo. Aparece primero en Mis pendientes.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 xml:space="preserve">○ </w:t>
            </w:r>
            <w:r>
              <w:rPr>
                <w:b/>
                <w:sz w:val="19"/>
              </w:rPr>
              <w:t>Gris</w:t>
            </w:r>
            <w:r>
              <w:rPr>
                <w:sz w:val="19"/>
              </w:rPr>
              <w:t xml:space="preserve"> – sin plazo</w:t>
            </w:r>
          </w:p>
        </w:tc>
        <w:tc>
          <w:tcPr>
            <w:tcW w:type="dxa" w:w="6746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Periodo aún en curso (el contratista todavía no debe entregar) o proceso sin plazo configurado.</w:t>
            </w:r>
          </w:p>
        </w:tc>
      </w:tr>
    </w:tbl>
    <w:p>
      <w:pPr>
        <w:spacing w:after="40"/>
      </w:pPr>
    </w:p>
    <w:p>
      <w:r>
        <w:t>Para las cuentas que el contratista aún no entrega, el conteo empieza el día siguiente al fin del periodo.</w:t>
      </w:r>
    </w:p>
    <w:p>
      <w:pPr>
        <w:pStyle w:val="Heading2"/>
      </w:pPr>
      <w:r>
        <w:t>Una cuenta = un periodo</w:t>
      </w:r>
    </w:p>
    <w:p>
      <w:r>
        <w:t xml:space="preserve">El plan de pagos se calcula automáticamente </w:t>
      </w:r>
      <w:r>
        <w:rPr>
          <w:b/>
        </w:rPr>
        <w:t>por periodos desde la fecha del acta de inicio</w:t>
      </w:r>
      <w:r>
        <w:t xml:space="preserve"> (por ejemplo, del 15 de julio al 14 de agosto), no por meses calendario, y el valor del contrato se divide en partes iguales. Salud Pública y el superadministrador pueden ajustar fechas y valores de cada pago cuando haya casos especiales.</w:t>
      </w:r>
    </w:p>
    <w:p>
      <w:pPr>
        <w:pStyle w:val="Heading1"/>
        <w:pageBreakBefore w:val="0"/>
        <w:spacing w:before="520"/>
      </w:pPr>
      <w:r>
        <w:t>5. Las pantallas del aplicativo</w:t>
      </w:r>
    </w:p>
    <w:p>
      <w:pPr>
        <w:pStyle w:val="Heading2"/>
      </w:pPr>
      <w:r>
        <w:t>📊 Dashboard</w:t>
      </w:r>
    </w:p>
    <w:p>
      <w:pPr>
        <w:pStyle w:val="ListBullet"/>
      </w:pPr>
      <w:r>
        <w:rPr>
          <w:b/>
        </w:rPr>
        <w:t>Indicadores:</w:t>
      </w:r>
      <w:r>
        <w:t xml:space="preserve"> número de cuentas y contratos, cuentas en trámite, pagadas, valor pagado, valor pendiente, devueltas al contratista y vencidas.</w:t>
      </w:r>
    </w:p>
    <w:p>
      <w:pPr>
        <w:pStyle w:val="ListBullet"/>
      </w:pPr>
      <w:r>
        <w:rPr>
          <w:b/>
        </w:rPr>
        <w:t>Cuentas en cada proceso:</w:t>
      </w:r>
      <w:r>
        <w:t xml:space="preserve"> una tarjeta por proceso con el número de cuentas y su semáforo. </w:t>
      </w:r>
      <w:r>
        <w:rPr>
          <w:b/>
        </w:rPr>
        <w:t>Haga clic en una tarjeta</w:t>
      </w:r>
      <w:r>
        <w:t xml:space="preserve"> para ver esas cuentas.</w:t>
      </w:r>
    </w:p>
    <w:p>
      <w:pPr>
        <w:pStyle w:val="ListBullet"/>
      </w:pPr>
      <w:r>
        <w:rPr>
          <w:b/>
        </w:rPr>
        <w:t>Gráficas:</w:t>
      </w:r>
      <w:r>
        <w:t xml:space="preserve"> valor pagado frente a pendiente por programa y por municipio, tiempo promedio en cada proceso (en rojo si supera el plazo), avance por número de pago y devoluciones por proceso.</w:t>
      </w:r>
    </w:p>
    <w:p>
      <w:pPr>
        <w:pStyle w:val="ListBullet"/>
      </w:pPr>
      <w:r>
        <w:rPr>
          <w:b/>
        </w:rPr>
        <w:t>Motivos de devolución más recientes</w:t>
      </w:r>
      <w:r>
        <w:t xml:space="preserve"> y </w:t>
      </w:r>
      <w:r>
        <w:rPr>
          <w:b/>
        </w:rPr>
        <w:t>tabla resumen por proceso</w:t>
      </w:r>
      <w:r>
        <w:t>.</w:t>
      </w:r>
    </w:p>
    <w:p>
      <w:r>
        <w:t>Todo el dashboard responde a los filtros de la parte superior (por ejemplo, solo EBS, solo Ábrego o solo un mes).</w:t>
      </w:r>
    </w:p>
    <w:p>
      <w:pPr>
        <w:pStyle w:val="Heading2"/>
      </w:pPr>
      <w:r>
        <w:t>📥 Mis pendientes</w:t>
      </w:r>
    </w:p>
    <w:p>
      <w:r>
        <w:t xml:space="preserve">La bandeja de trabajo de cada oficina: muestra </w:t>
      </w:r>
      <w:r>
        <w:rPr>
          <w:b/>
        </w:rPr>
        <w:t>solo las cuentas que le corresponden a su proceso</w:t>
      </w:r>
      <w:r>
        <w:t>, ordenadas por urgencia (primero las vencidas). El número rojo en la pestaña indica cuántas tiene pendientes.</w:t>
      </w:r>
    </w:p>
    <w:p>
      <w:pPr>
        <w:pStyle w:val="ListBullet"/>
      </w:pPr>
      <w:r>
        <w:t>Haga clic en una fila para abrir el detalle y actuar.</w:t>
      </w:r>
    </w:p>
    <w:p>
      <w:pPr>
        <w:pStyle w:val="ListBullet"/>
      </w:pPr>
      <w:r>
        <w:t xml:space="preserve">Use las casillas para </w:t>
      </w:r>
      <w:r>
        <w:rPr>
          <w:b/>
        </w:rPr>
        <w:t>acciones en lote</w:t>
      </w:r>
      <w:r>
        <w:t xml:space="preserve">: seleccione varias cuentas, elija la </w:t>
      </w:r>
      <w:r>
        <w:rPr>
          <w:b/>
        </w:rPr>
        <w:t>fecha del movimiento</w:t>
      </w:r>
      <w:r>
        <w:t xml:space="preserve"> y pulse </w:t>
      </w:r>
      <w:r>
        <w:rPr>
          <w:b/>
        </w:rPr>
        <w:t>📥 Registrar recepción</w:t>
      </w:r>
      <w:r>
        <w:t xml:space="preserve"> o </w:t>
      </w:r>
      <w:r>
        <w:rPr>
          <w:b/>
        </w:rPr>
        <w:t>✔ Aprobar y enviar</w:t>
      </w:r>
      <w:r>
        <w:t>. Si alguna no se puede mover, el sistema le dice cuál y por qué.</w:t>
      </w:r>
    </w:p>
    <w:p>
      <w:pPr>
        <w:pStyle w:val="ListBullet"/>
      </w:pPr>
      <w:r>
        <w:t xml:space="preserve">Salud Pública ve también las cuentas cuyo periodo ya terminó y el contratista no ha entregado. Marque </w:t>
      </w:r>
      <w:r>
        <w:rPr>
          <w:b/>
        </w:rPr>
        <w:t>Incluir cuentas con periodo sin terminar</w:t>
      </w:r>
      <w:r>
        <w:t xml:space="preserve"> para ver también las futuras.</w:t>
      </w:r>
    </w:p>
    <w:p>
      <w:pPr>
        <w:pStyle w:val="ListBullet"/>
      </w:pPr>
      <w:r>
        <w:t xml:space="preserve">El superadministrador puede ver la bandeja de cualquier proceso con el selector </w:t>
      </w:r>
      <w:r>
        <w:rPr>
          <w:b/>
        </w:rPr>
        <w:t>Ver bandeja de</w:t>
      </w:r>
      <w:r>
        <w:t>.</w:t>
      </w:r>
    </w:p>
    <w:p>
      <w:pPr>
        <w:pStyle w:val="Heading2"/>
      </w:pPr>
      <w:r>
        <w:t>🧾 Cuentas</w:t>
      </w:r>
    </w:p>
    <w:p>
      <w:r>
        <w:t xml:space="preserve">Listado de todas las cuentas con contrato, contratista, número de pago y periodo, valor, proceso actual, semáforo, radicado y factura, pago y, en EBS, el </w:t>
      </w:r>
      <w:r>
        <w:rPr>
          <w:b/>
        </w:rPr>
        <w:t>certificado de cumplimiento</w:t>
      </w:r>
      <w:r>
        <w:t xml:space="preserve"> emitido para ese pago. Haga clic en una fila para ver el detalle. Las cuentas anuladas por liquidación solo aparecen con el filtro </w:t>
      </w:r>
      <w:r>
        <w:rPr>
          <w:b/>
        </w:rPr>
        <w:t>Proceso actual → Anuladas por liquidación</w:t>
      </w:r>
      <w:r>
        <w:t>.</w:t>
      </w:r>
    </w:p>
    <w:p>
      <w:pPr>
        <w:pStyle w:val="Heading2"/>
      </w:pPr>
      <w:r>
        <w:t>El detalle de una cuenta</w:t>
      </w:r>
    </w:p>
    <w:p>
      <w:pPr>
        <w:pStyle w:val="ListBullet"/>
      </w:pPr>
      <w:r>
        <w:rPr>
          <w:b/>
        </w:rPr>
        <w:t>Resumen:</w:t>
      </w:r>
      <w:r>
        <w:t xml:space="preserve"> valor, periodo, proceso actual y desde cuándo, semáforo y certificado de cumplimiento.</w:t>
      </w:r>
    </w:p>
    <w:p>
      <w:pPr>
        <w:pStyle w:val="ListBullet"/>
      </w:pPr>
      <w:r>
        <w:rPr>
          <w:b/>
        </w:rPr>
        <w:t>Línea de procesos:</w:t>
      </w:r>
      <w:r>
        <w:t xml:space="preserve"> el estado de cada filtro (Aprobado, Pendiente, Devuelto) con su fecha.</w:t>
      </w:r>
    </w:p>
    <w:p>
      <w:pPr>
        <w:pStyle w:val="ListBullet"/>
      </w:pPr>
      <w:r>
        <w:rPr>
          <w:b/>
        </w:rPr>
        <w:t>Datos:</w:t>
      </w:r>
      <w:r>
        <w:t xml:space="preserve"> radicado, factura, estado SECOP II, supervisión, Tesorería, número ND, fecha de notificación al contratista y casillas de control de Subgerencia.</w:t>
      </w:r>
    </w:p>
    <w:p>
      <w:pPr>
        <w:pStyle w:val="ListBullet"/>
      </w:pPr>
      <w:r>
        <w:rPr>
          <w:b/>
        </w:rPr>
        <w:t>🏛 Datos de Subgerencia:</w:t>
      </w:r>
      <w:r>
        <w:t xml:space="preserve"> recuadro para el radicado y la fecha de notificación (solo Subgerencia).</w:t>
      </w:r>
    </w:p>
    <w:p>
      <w:pPr>
        <w:pStyle w:val="ListBullet"/>
      </w:pPr>
      <w:r>
        <w:rPr>
          <w:b/>
        </w:rPr>
        <w:t>Acciones:</w:t>
      </w:r>
      <w:r>
        <w:t xml:space="preserve"> solo aparecen si la cuenta está en su proceso (ver capítulo 6).</w:t>
      </w:r>
    </w:p>
    <w:p>
      <w:pPr>
        <w:pStyle w:val="ListBullet"/>
      </w:pPr>
      <w:r>
        <w:rPr>
          <w:b/>
        </w:rPr>
        <w:t>Historial:</w:t>
      </w:r>
      <w:r>
        <w:t xml:space="preserve"> cada movimiento con fecha, responsable, rol y motivo.</w:t>
      </w:r>
    </w:p>
    <w:p>
      <w:pPr>
        <w:pStyle w:val="Heading2"/>
      </w:pPr>
      <w:r>
        <w:t>📁 Contratos, ⬆ Cargue masivo y ⚙ Administración</w:t>
      </w:r>
    </w:p>
    <w:p>
      <w:r>
        <w:t>Se explican en los capítulos 8, 9 y 13.</w:t>
      </w:r>
    </w:p>
    <w:p>
      <w:pPr>
        <w:pStyle w:val="Heading1"/>
        <w:pageBreakBefore w:val="0"/>
        <w:spacing w:before="520"/>
      </w:pPr>
      <w:r>
        <w:t>6. Qué hace cada proceso, paso a paso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right w:val="nil"/>
          <w:left w:val="single" w:sz="24" w:color="059669"/>
        </w:tblBorders>
      </w:tblPr>
      <w:tblGrid>
        <w:gridCol w:w="9632"/>
      </w:tblGrid>
      <w:tr>
        <w:trPr>
          <w:cantSplit w:val="true"/>
        </w:trPr>
        <w:tc>
          <w:tcPr>
            <w:tcW w:type="dxa" w:w="9581"/>
            <w:shd w:val="clear" w:color="auto" w:fill="E9F7F1"/>
          </w:tcPr>
          <w:p>
            <w:pPr>
              <w:spacing w:after="60"/>
            </w:pPr>
            <w:r>
              <w:rPr>
                <w:sz w:val="20"/>
              </w:rPr>
              <w:t xml:space="preserve">En todas las acciones puede cambiar la </w:t>
            </w:r>
            <w:r>
              <w:rPr>
                <w:b/>
                <w:sz w:val="20"/>
              </w:rPr>
              <w:t>Fecha del movimiento</w:t>
            </w:r>
            <w:r>
              <w:rPr>
                <w:sz w:val="20"/>
              </w:rPr>
              <w:t xml:space="preserve"> (por defecto, hoy) para registrar el día real en que ocurrió.</w:t>
            </w:r>
          </w:p>
        </w:tc>
      </w:tr>
    </w:tbl>
    <w:p>
      <w:pPr>
        <w:spacing w:after="40"/>
      </w:pPr>
    </w:p>
    <w:p>
      <w:pPr>
        <w:pStyle w:val="Heading2"/>
      </w:pPr>
      <w:r>
        <w:t>Salud Pública</w:t>
      </w:r>
    </w:p>
    <w:p>
      <w:pPr>
        <w:pStyle w:val="Heading3"/>
      </w:pPr>
      <w:r>
        <w:t>Registrar que el contratista entregó la cuenta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1.  </w:t>
      </w:r>
      <w:r>
        <w:t xml:space="preserve">En </w:t>
      </w:r>
      <w:r>
        <w:rPr>
          <w:b/>
        </w:rPr>
        <w:t>Mis pendientes</w:t>
      </w:r>
      <w:r>
        <w:t>, abra la cuenta (estado "Por entregar" o "Devuelta al contratista").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2.  </w:t>
      </w:r>
      <w:r>
        <w:t xml:space="preserve">Pulse </w:t>
      </w:r>
      <w:r>
        <w:rPr>
          <w:b/>
        </w:rPr>
        <w:t>📥 Registrar recepción de la cuenta</w:t>
      </w:r>
      <w:r>
        <w:t>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3.  </w:t>
      </w:r>
      <w:r>
        <w:t>La cuenta pasa a Salud Pública (o, si había sido devuelta, al proceso que la devolvió).</w:t>
      </w:r>
    </w:p>
    <w:p>
      <w:pPr>
        <w:pStyle w:val="Heading3"/>
      </w:pPr>
      <w:r>
        <w:t>1er filtro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1.  </w:t>
      </w:r>
      <w:r>
        <w:t xml:space="preserve">Abra la cuenta en </w:t>
      </w:r>
      <w:r>
        <w:rPr>
          <w:b/>
        </w:rPr>
        <w:t>Mis pendientes</w:t>
      </w:r>
      <w:r>
        <w:t xml:space="preserve"> y revise los soportes.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2.  </w:t>
      </w:r>
      <w:r>
        <w:t xml:space="preserve">Si está bien, pulse </w:t>
      </w:r>
      <w:r>
        <w:rPr>
          <w:b/>
        </w:rPr>
        <w:t>✔ Aprobar y enviar a Contratación</w:t>
      </w:r>
      <w:r>
        <w:t>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3.  </w:t>
      </w:r>
      <w:r>
        <w:t xml:space="preserve">Si hay que corregir algo, use </w:t>
      </w:r>
      <w:r>
        <w:rPr>
          <w:b/>
        </w:rPr>
        <w:t>↩ Devolver</w:t>
      </w:r>
      <w:r>
        <w:t xml:space="preserve"> (ver capítulo 7).</w:t>
      </w:r>
    </w:p>
    <w:p>
      <w:pPr>
        <w:pStyle w:val="Heading2"/>
      </w:pPr>
      <w:r>
        <w:t>Contratación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1.  </w:t>
      </w:r>
      <w:r>
        <w:t xml:space="preserve">Abra la cuenta en </w:t>
      </w:r>
      <w:r>
        <w:rPr>
          <w:b/>
        </w:rPr>
        <w:t>Mis pendientes</w:t>
      </w:r>
      <w:r>
        <w:t>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2.  </w:t>
      </w:r>
      <w:r>
        <w:t xml:space="preserve">Pulse </w:t>
      </w:r>
      <w:r>
        <w:rPr>
          <w:b/>
        </w:rPr>
        <w:t>✔ Aprobar y enviar a Subgerencia</w:t>
      </w:r>
      <w:r>
        <w:t>, o devuélvala con motivo.</w:t>
      </w:r>
    </w:p>
    <w:p>
      <w:r>
        <w:t xml:space="preserve">Contratación también puede </w:t>
      </w:r>
      <w:r>
        <w:rPr>
          <w:b/>
        </w:rPr>
        <w:t>liquidar contratos</w:t>
      </w:r>
      <w:r>
        <w:t xml:space="preserve"> (capítulo 9).</w:t>
      </w:r>
    </w:p>
    <w:p>
      <w:pPr>
        <w:pStyle w:val="Heading2"/>
      </w:pPr>
      <w:r>
        <w:t>Subgerencia</w:t>
      </w:r>
    </w:p>
    <w:p>
      <w:pPr>
        <w:pStyle w:val="Heading3"/>
      </w:pPr>
      <w:r>
        <w:t>Datos de Subgerencia: radicado y fecha de notificación</w:t>
      </w:r>
    </w:p>
    <w:p>
      <w:r>
        <w:t xml:space="preserve">Solo el usuario de Subgerencia (y el superadministrador, para corregir) puede diligenciar estos dos datos. Los demás procesos los ven, pero no los pueden modificar. Se pueden registrar </w:t>
      </w:r>
      <w:r>
        <w:rPr>
          <w:b/>
        </w:rPr>
        <w:t>en cualquier etapa</w:t>
      </w:r>
      <w:r>
        <w:t xml:space="preserve"> de la cuenta.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1.  </w:t>
      </w:r>
      <w:r>
        <w:t xml:space="preserve">Abra la cuenta. En el recuadro </w:t>
      </w:r>
      <w:r>
        <w:rPr>
          <w:b/>
        </w:rPr>
        <w:t>🏛 Datos de Subgerencia</w:t>
      </w:r>
      <w:r>
        <w:t xml:space="preserve"> escriba el </w:t>
      </w:r>
      <w:r>
        <w:rPr>
          <w:b/>
        </w:rPr>
        <w:t>No. radicado</w:t>
      </w:r>
      <w:r>
        <w:t xml:space="preserve"> y la </w:t>
      </w:r>
      <w:r>
        <w:rPr>
          <w:b/>
        </w:rPr>
        <w:t>Fecha de notificación al contratista</w:t>
      </w:r>
      <w:r>
        <w:t>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2.  </w:t>
      </w:r>
      <w:r>
        <w:t xml:space="preserve">Pulse </w:t>
      </w:r>
      <w:r>
        <w:rPr>
          <w:b/>
        </w:rPr>
        <w:t>Guardar</w:t>
      </w:r>
      <w:r>
        <w:t xml:space="preserve">. Al registrar la fecha, la cuenta queda marcada como </w:t>
      </w:r>
      <w:r>
        <w:rPr>
          <w:b/>
        </w:rPr>
        <w:t>notificada</w:t>
      </w:r>
      <w:r>
        <w:t xml:space="preserve"> ("Notificado al contratista el dd/mm/aaaa"); si borra la fecha, se quita la marca.</w:t>
      </w:r>
    </w:p>
    <w:p>
      <w:pPr>
        <w:pStyle w:val="Heading3"/>
      </w:pPr>
      <w:r>
        <w:t>3er filtro: factura electrónica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1.  </w:t>
      </w:r>
      <w:r>
        <w:t xml:space="preserve">Con la cuenta en Subgerencia, escriba el </w:t>
      </w:r>
      <w:r>
        <w:rPr>
          <w:b/>
        </w:rPr>
        <w:t>No. factura electrónica</w:t>
      </w:r>
      <w:r>
        <w:t xml:space="preserve">. Puede pulsar </w:t>
      </w:r>
      <w:r>
        <w:rPr>
          <w:b/>
        </w:rPr>
        <w:t>Guardar factura</w:t>
      </w:r>
      <w:r>
        <w:t xml:space="preserve"> si aún no va a aprobar.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2.  </w:t>
      </w:r>
      <w:r>
        <w:t xml:space="preserve">Pulse </w:t>
      </w:r>
      <w:r>
        <w:rPr>
          <w:b/>
        </w:rPr>
        <w:t>✔ Aprobar y enviar a Supervisión</w:t>
      </w:r>
      <w:r>
        <w:t>. Sin radicado (en Datos de Subgerencia) y sin factura, el sistema no deja aprobar.</w:t>
      </w:r>
    </w:p>
    <w:p>
      <w:pPr>
        <w:pStyle w:val="Heading3"/>
      </w:pPr>
      <w:r>
        <w:t>Supervisión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1.  </w:t>
      </w:r>
      <w:r>
        <w:t xml:space="preserve">Revise la cuenta y pulse </w:t>
      </w:r>
      <w:r>
        <w:rPr>
          <w:b/>
        </w:rPr>
        <w:t>✔ Aprobar y enviar a SECOP II</w:t>
      </w:r>
      <w:r>
        <w:t>.</w:t>
      </w:r>
    </w:p>
    <w:p>
      <w:pPr>
        <w:pStyle w:val="Heading3"/>
      </w:pPr>
      <w:r>
        <w:t>SECOP II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1.  </w:t>
      </w:r>
      <w:r>
        <w:t xml:space="preserve">Cuando el contratista informe por correo que cargó la cuenta, cambie el </w:t>
      </w:r>
      <w:r>
        <w:rPr>
          <w:b/>
        </w:rPr>
        <w:t>Estado SECOP II</w:t>
      </w:r>
      <w:r>
        <w:t xml:space="preserve"> a </w:t>
      </w:r>
      <w:r>
        <w:rPr>
          <w:b/>
        </w:rPr>
        <w:t>Publicado</w:t>
      </w:r>
      <w:r>
        <w:t xml:space="preserve"> y pulse </w:t>
      </w:r>
      <w:r>
        <w:rPr>
          <w:b/>
        </w:rPr>
        <w:t>Guardar estado</w:t>
      </w:r>
      <w:r>
        <w:t>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2.  </w:t>
      </w:r>
      <w:r>
        <w:t xml:space="preserve">Cuando esté aprobada en SECOP II, pulse </w:t>
      </w:r>
      <w:r>
        <w:rPr>
          <w:b/>
        </w:rPr>
        <w:t>✔ Aprobado en SECOP II → Tesorería</w:t>
      </w:r>
      <w:r>
        <w:t>.</w:t>
      </w:r>
    </w:p>
    <w:p>
      <w:pPr>
        <w:pStyle w:val="Heading3"/>
      </w:pPr>
      <w:r>
        <w:t>Casillas de control</w:t>
      </w:r>
    </w:p>
    <w:p>
      <w:r>
        <w:t xml:space="preserve">En Subgerencia, Supervisión y SECOP II aparecen dos casillas que se guardan al marcarlas: </w:t>
      </w:r>
      <w:r>
        <w:rPr>
          <w:b/>
        </w:rPr>
        <w:t>Informado a presupuesto</w:t>
      </w:r>
      <w:r>
        <w:t xml:space="preserve"> y </w:t>
      </w:r>
      <w:r>
        <w:rPr>
          <w:b/>
        </w:rPr>
        <w:t>Contratista envió correo del cargue</w:t>
      </w:r>
      <w:r>
        <w:t xml:space="preserve">. La notificación al contratista se registra con su fecha en </w:t>
      </w:r>
      <w:r>
        <w:rPr>
          <w:b/>
        </w:rPr>
        <w:t>Datos de Subgerencia</w:t>
      </w:r>
      <w:r>
        <w:t>.</w:t>
      </w:r>
    </w:p>
    <w:p>
      <w:pPr>
        <w:pStyle w:val="Heading2"/>
      </w:pPr>
      <w:r>
        <w:t>Tesorería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1.  </w:t>
      </w:r>
      <w:r>
        <w:t xml:space="preserve">Abra la cuenta en </w:t>
      </w:r>
      <w:r>
        <w:rPr>
          <w:b/>
        </w:rPr>
        <w:t>Mis pendientes</w:t>
      </w:r>
      <w:r>
        <w:t>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2.  </w:t>
      </w:r>
      <w:r>
        <w:t xml:space="preserve">Verifique el </w:t>
      </w:r>
      <w:r>
        <w:rPr>
          <w:b/>
        </w:rPr>
        <w:t>Valor pagado</w:t>
      </w:r>
      <w:r>
        <w:t xml:space="preserve"> (viene el valor de la cuenta) y escriba el </w:t>
      </w:r>
      <w:r>
        <w:rPr>
          <w:b/>
        </w:rPr>
        <w:t>No. ND</w:t>
      </w:r>
      <w:r>
        <w:t xml:space="preserve"> (certificado de egreso).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3.  </w:t>
      </w:r>
      <w:r>
        <w:t xml:space="preserve">Ajuste la </w:t>
      </w:r>
      <w:r>
        <w:rPr>
          <w:b/>
        </w:rPr>
        <w:t>Fecha del movimiento</w:t>
      </w:r>
      <w:r>
        <w:t>: se registra como fecha de pago.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4.  </w:t>
      </w:r>
      <w:r>
        <w:t xml:space="preserve">Pulse </w:t>
      </w:r>
      <w:r>
        <w:rPr>
          <w:b/>
        </w:rPr>
        <w:t>💰 Registrar pago</w:t>
      </w:r>
      <w:r>
        <w:t xml:space="preserve">. La cuenta queda </w:t>
      </w:r>
      <w:r>
        <w:rPr>
          <w:b/>
        </w:rPr>
        <w:t>Pagada</w:t>
      </w:r>
      <w:r>
        <w:t>.</w:t>
      </w:r>
    </w:p>
    <w:p>
      <w:pPr>
        <w:pStyle w:val="Heading1"/>
        <w:pageBreakBefore w:val="0"/>
        <w:spacing w:before="520"/>
      </w:pPr>
      <w:r>
        <w:t>7. Devoluciones</w:t>
      </w:r>
    </w:p>
    <w:p>
      <w:r>
        <w:t xml:space="preserve">Cualquier proceso puede devolver una cuenta </w:t>
      </w:r>
      <w:r>
        <w:rPr>
          <w:b/>
        </w:rPr>
        <w:t>al contratista</w:t>
      </w:r>
      <w:r>
        <w:t xml:space="preserve"> o a </w:t>
      </w:r>
      <w:r>
        <w:rPr>
          <w:b/>
        </w:rPr>
        <w:t>un proceso anterior</w:t>
      </w:r>
      <w:r>
        <w:t>. El motivo es obligatorio y queda en el historial.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1.  </w:t>
      </w:r>
      <w:r>
        <w:t xml:space="preserve">En el detalle de la cuenta, sección </w:t>
      </w:r>
      <w:r>
        <w:rPr>
          <w:b/>
        </w:rPr>
        <w:t>↩ Devolver</w:t>
      </w:r>
      <w:r>
        <w:t xml:space="preserve">, elija </w:t>
      </w:r>
      <w:r>
        <w:rPr>
          <w:b/>
        </w:rPr>
        <w:t>Devolver a</w:t>
      </w:r>
      <w:r>
        <w:t xml:space="preserve"> (Al contratista o un proceso anterior).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2.  </w:t>
      </w:r>
      <w:r>
        <w:t xml:space="preserve">Escriba el </w:t>
      </w:r>
      <w:r>
        <w:rPr>
          <w:b/>
        </w:rPr>
        <w:t>motivo</w:t>
      </w:r>
      <w:r>
        <w:t>: qué debe corregirse.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3.  </w:t>
      </w:r>
      <w:r>
        <w:t xml:space="preserve">Pulse </w:t>
      </w:r>
      <w:r>
        <w:rPr>
          <w:b/>
        </w:rPr>
        <w:t>Devolver</w:t>
      </w:r>
      <w:r>
        <w:t xml:space="preserve"> y confirme.</w:t>
      </w:r>
    </w:p>
    <w:p>
      <w:pPr>
        <w:pStyle w:val="ListBullet"/>
      </w:pPr>
      <w:r>
        <w:rPr>
          <w:b/>
        </w:rPr>
        <w:t>Si se devuelve al contratista:</w:t>
      </w:r>
      <w:r>
        <w:t xml:space="preserve"> la cuenta queda como "Devuelta al contratista" y el contratista ve el motivo en la consulta pública. Cuando la corrija y la entregue de nuevo, el proceso que la devolvió registra la recepción y la cuenta </w:t>
      </w:r>
      <w:r>
        <w:rPr>
          <w:b/>
        </w:rPr>
        <w:t>vuelve directamente a ese proceso</w:t>
      </w:r>
      <w:r>
        <w:t>, sin repetir los filtros anteriores.</w:t>
      </w:r>
    </w:p>
    <w:p>
      <w:pPr>
        <w:pStyle w:val="ListBullet"/>
      </w:pPr>
      <w:r>
        <w:rPr>
          <w:b/>
        </w:rPr>
        <w:t>Si se devuelve a un proceso anterior:</w:t>
      </w:r>
      <w:r>
        <w:t xml:space="preserve"> ese proceso y los intermedios deben revisarla otra vez. El radicado y la factura se conservan.</w:t>
      </w:r>
    </w:p>
    <w:p>
      <w:pPr>
        <w:pStyle w:val="ListBullet"/>
      </w:pPr>
      <w:r>
        <w:t>El número de devoluciones de cada cuenta aparece en el listado, y el dashboard muestra las devoluciones por proceso y los motivos recientes.</w:t>
      </w:r>
    </w:p>
    <w:p>
      <w:pPr>
        <w:pStyle w:val="Heading1"/>
        <w:pageBreakBefore/>
      </w:pPr>
      <w:r>
        <w:t>8. Contratos, plan de pagos y cargue masivo</w:t>
      </w:r>
    </w:p>
    <w:p>
      <w:pPr>
        <w:pStyle w:val="Heading2"/>
      </w:pPr>
      <w:r>
        <w:t>📁 Contratos</w:t>
      </w:r>
    </w:p>
    <w:p>
      <w:r>
        <w:t xml:space="preserve">Lista los contratos con su programa y resolución, rol, municipio, valor, acta de inicio, duración, número de pagos y avance (pagadas / total). Haga clic en un contrato para ver su ficha y su </w:t>
      </w:r>
      <w:r>
        <w:rPr>
          <w:b/>
        </w:rPr>
        <w:t>plan de pagos</w:t>
      </w:r>
      <w:r>
        <w:t>. Salud Pública y el superadministrador pueden crear y editar contratos; los demás solo consultan.</w:t>
      </w:r>
    </w:p>
    <w:p>
      <w:pPr>
        <w:pStyle w:val="Heading3"/>
      </w:pPr>
      <w:r>
        <w:t>Crear un contrato a mano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1.  </w:t>
      </w:r>
      <w:r>
        <w:t xml:space="preserve">Pulse </w:t>
      </w:r>
      <w:r>
        <w:rPr>
          <w:b/>
        </w:rPr>
        <w:t>＋ Nuevo contrato</w:t>
      </w:r>
      <w:r>
        <w:t>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2.  </w:t>
      </w:r>
      <w:r>
        <w:t>Complete número de contrato, programa, resolución, cédula, nombre, rol, municipio, valor total, tiempo de ejecución (días) y fecha del acta de inicio.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3.  </w:t>
      </w:r>
      <w:r>
        <w:t xml:space="preserve">Pulse </w:t>
      </w:r>
      <w:r>
        <w:rPr>
          <w:b/>
        </w:rPr>
        <w:t>↻ Recalcular automático</w:t>
      </w:r>
      <w:r>
        <w:t xml:space="preserve"> para generar los pagos (o escriba el </w:t>
      </w:r>
      <w:r>
        <w:rPr>
          <w:b/>
        </w:rPr>
        <w:t>Número de pagos</w:t>
      </w:r>
      <w:r>
        <w:t xml:space="preserve"> que desee antes de recalcular).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4.  </w:t>
      </w:r>
      <w:r>
        <w:t xml:space="preserve">Ajuste fechas y valores si hace falta y pulse </w:t>
      </w:r>
      <w:r>
        <w:rPr>
          <w:b/>
        </w:rPr>
        <w:t>Guardar</w:t>
      </w:r>
      <w:r>
        <w:t>.</w:t>
      </w:r>
    </w:p>
    <w:p>
      <w:pPr>
        <w:pStyle w:val="Heading3"/>
      </w:pPr>
      <w:r>
        <w:t>Ajustar el plan de pagos</w:t>
      </w:r>
    </w:p>
    <w:p>
      <w:pPr>
        <w:pStyle w:val="ListBullet"/>
      </w:pPr>
      <w:r>
        <w:t xml:space="preserve">Puede cambiar fechas y valores de cualquier pago, y </w:t>
      </w:r>
      <w:r>
        <w:rPr>
          <w:b/>
        </w:rPr>
        <w:t>＋ Agregar pago</w:t>
      </w:r>
      <w:r>
        <w:t>.</w:t>
      </w:r>
    </w:p>
    <w:p>
      <w:pPr>
        <w:pStyle w:val="ListBullet"/>
      </w:pPr>
      <w:r>
        <w:t xml:space="preserve">Solo se pueden </w:t>
      </w:r>
      <w:r>
        <w:rPr>
          <w:b/>
        </w:rPr>
        <w:t>quitar</w:t>
      </w:r>
      <w:r>
        <w:t xml:space="preserve"> pagos que el contratista aún no ha entregado.</w:t>
      </w:r>
    </w:p>
    <w:p>
      <w:pPr>
        <w:pStyle w:val="ListBullet"/>
      </w:pPr>
      <w:r>
        <w:t xml:space="preserve">Debajo del plan, la </w:t>
      </w:r>
      <w:r>
        <w:rPr>
          <w:b/>
        </w:rPr>
        <w:t>Suma</w:t>
      </w:r>
      <w:r>
        <w:t xml:space="preserve"> indica si coincide con el valor del contrato o cuánta diferencia hay.</w:t>
      </w:r>
    </w:p>
    <w:p>
      <w:pPr>
        <w:pStyle w:val="ListBullet"/>
      </w:pPr>
      <w:r>
        <w:rPr>
          <w:b/>
        </w:rPr>
        <w:t>Recalcular automático</w:t>
      </w:r>
      <w:r>
        <w:t xml:space="preserve"> conserva los pagos que ya están en trámite y recalcula los demás.</w:t>
      </w:r>
    </w:p>
    <w:p>
      <w:pPr>
        <w:pStyle w:val="Heading2"/>
      </w:pPr>
      <w:r>
        <w:t>⬆ Cargue masivo</w:t>
      </w:r>
    </w:p>
    <w:p>
      <w:r>
        <w:t>Carga de una vez el listado de contratos en el formato que genera el sistema de contratación (columnas CÓDIGOCONTRATO, OBJETOCONTRATO, VALOR, TIEMPO EJECUCIÓN, CONTRATISTAS, FECHA ACTAINICIO).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1.  </w:t>
      </w:r>
      <w:r>
        <w:t xml:space="preserve">Elija el </w:t>
      </w:r>
      <w:r>
        <w:rPr>
          <w:b/>
        </w:rPr>
        <w:t>Programa</w:t>
      </w:r>
      <w:r>
        <w:t>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2.  </w:t>
      </w:r>
      <w:r>
        <w:t xml:space="preserve">Escriba la </w:t>
      </w:r>
      <w:r>
        <w:rPr>
          <w:b/>
        </w:rPr>
        <w:t>Resolución</w:t>
      </w:r>
      <w:r>
        <w:t xml:space="preserve"> (recomendado; si la deja vacía, el sistema la toma del objeto del contrato).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3.  </w:t>
      </w:r>
      <w:r>
        <w:t>Seleccione el archivo Excel.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4.  </w:t>
      </w:r>
      <w:r>
        <w:t xml:space="preserve">Revise la </w:t>
      </w:r>
      <w:r>
        <w:rPr>
          <w:b/>
        </w:rPr>
        <w:t>vista previa</w:t>
      </w:r>
      <w:r>
        <w:t>: contratos nuevos, cuentas que se generarán, proveedores (quedan inactivos), duplicados y filas sin datos. Las alertas en amarillo indican datos que el sistema no pudo detectar (rol, municipio, acta).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5.  </w:t>
      </w:r>
      <w:r>
        <w:t xml:space="preserve">Pulse </w:t>
      </w:r>
      <w:r>
        <w:rPr>
          <w:b/>
        </w:rPr>
        <w:t>⬆ Importar</w:t>
      </w:r>
      <w:r>
        <w:t xml:space="preserve">. El cargue queda en el </w:t>
      </w:r>
      <w:r>
        <w:rPr>
          <w:b/>
        </w:rPr>
        <w:t>Historial de cargues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right w:val="nil"/>
          <w:left w:val="single" w:sz="24" w:color="1565C0"/>
        </w:tblBorders>
      </w:tblPr>
      <w:tblGrid>
        <w:gridCol w:w="9632"/>
      </w:tblGrid>
      <w:tr>
        <w:trPr>
          <w:cantSplit w:val="true"/>
        </w:trPr>
        <w:tc>
          <w:tcPr>
            <w:tcW w:type="dxa" w:w="9581"/>
            <w:shd w:val="clear" w:color="auto" w:fill="EAF2FB"/>
          </w:tcPr>
          <w:p>
            <w:pPr>
              <w:spacing w:after="60"/>
            </w:pPr>
            <w:r>
              <w:rPr>
                <w:sz w:val="20"/>
              </w:rPr>
              <w:t xml:space="preserve">El sistema </w:t>
            </w:r>
            <w:r>
              <w:rPr>
                <w:b/>
                <w:sz w:val="20"/>
              </w:rPr>
              <w:t>no duplica</w:t>
            </w:r>
            <w:r>
              <w:rPr>
                <w:sz w:val="20"/>
              </w:rPr>
              <w:t>: omite los contratos cuyo número ya existe. Un mismo contratista puede tener varios contratos en distintos programas; los diferencia el número de contrato. Los proveedores de transporte o suministros quedan inactivos y sin cuentas.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520"/>
      </w:pPr>
      <w:r>
        <w:t>9. Liquidación de contratos</w:t>
      </w:r>
    </w:p>
    <w:p>
      <w:r>
        <w:t xml:space="preserve">Cuando un contratista no cumple su contrato, se liquida por un </w:t>
      </w:r>
      <w:r>
        <w:rPr>
          <w:b/>
        </w:rPr>
        <w:t>valor específico, que puede ser $0</w:t>
      </w:r>
      <w:r>
        <w:t xml:space="preserve">. La liquidación la hacen </w:t>
      </w:r>
      <w:r>
        <w:rPr>
          <w:b/>
        </w:rPr>
        <w:t>Contratación y el superadministrador</w:t>
      </w:r>
      <w:r>
        <w:t>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1.  </w:t>
      </w:r>
      <w:r>
        <w:t xml:space="preserve">Abra el contrato en </w:t>
      </w:r>
      <w:r>
        <w:rPr>
          <w:b/>
        </w:rPr>
        <w:t>📁 Contratos</w:t>
      </w:r>
      <w:r>
        <w:t xml:space="preserve"> y pulse </w:t>
      </w:r>
      <w:r>
        <w:rPr>
          <w:b/>
        </w:rPr>
        <w:t>⚖ Liquidar contrato</w:t>
      </w:r>
      <w:r>
        <w:t>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2.  </w:t>
      </w:r>
      <w:r>
        <w:t xml:space="preserve">Escriba la </w:t>
      </w:r>
      <w:r>
        <w:rPr>
          <w:b/>
        </w:rPr>
        <w:t>fecha de liquidación</w:t>
      </w:r>
      <w:r>
        <w:t xml:space="preserve">, el </w:t>
      </w:r>
      <w:r>
        <w:rPr>
          <w:b/>
        </w:rPr>
        <w:t>valor</w:t>
      </w:r>
      <w:r>
        <w:t xml:space="preserve"> (puede ser 0) y el </w:t>
      </w:r>
      <w:r>
        <w:rPr>
          <w:b/>
        </w:rPr>
        <w:t>motivo</w:t>
      </w:r>
      <w:r>
        <w:t>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3.  </w:t>
      </w:r>
      <w:r>
        <w:t xml:space="preserve">Lea la vista previa de lo que va a pasar y pulse </w:t>
      </w:r>
      <w:r>
        <w:rPr>
          <w:b/>
        </w:rPr>
        <w:t>Liquidar contrato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6E5"/>
          <w:left w:val="single" w:sz="4" w:color="C9D6E5"/>
          <w:bottom w:val="single" w:sz="4" w:color="C9D6E5"/>
          <w:right w:val="single" w:sz="4" w:color="C9D6E5"/>
          <w:insideH w:val="single" w:sz="4" w:color="C9D6E5"/>
          <w:insideV w:val="single" w:sz="4" w:color="C9D6E5"/>
        </w:tblBorders>
      </w:tblPr>
      <w:tblGrid>
        <w:gridCol w:w="4816"/>
        <w:gridCol w:w="4816"/>
      </w:tblGrid>
      <w:tr>
        <w:trPr>
          <w:tblHeader w:val="true"/>
        </w:trPr>
        <w:tc>
          <w:tcPr>
            <w:tcW w:type="dxa" w:w="2268"/>
            <w:shd w:val="clear" w:color="auto" w:fill="0F4C81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Si el valor es…</w:t>
            </w:r>
          </w:p>
        </w:tc>
        <w:tc>
          <w:tcPr>
            <w:tcW w:type="dxa" w:w="7313"/>
            <w:shd w:val="clear" w:color="auto" w:fill="0F4C81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b/>
                <w:sz w:val="19"/>
              </w:rPr>
              <w:t>Mayor que $0</w:t>
            </w:r>
          </w:p>
        </w:tc>
        <w:tc>
          <w:tcPr>
            <w:tcW w:type="dxa" w:w="7313"/>
            <w:vAlign w:val="top"/>
          </w:tcPr>
          <w:p>
            <w:pPr>
              <w:spacing w:after="40"/>
            </w:pPr>
            <w:r>
              <w:rPr>
                <w:sz w:val="19"/>
              </w:rPr>
              <w:t xml:space="preserve">El primer pago que el contratista aún no ha entregado se convierte en la </w:t>
            </w:r>
            <w:r>
              <w:rPr>
                <w:b/>
                <w:sz w:val="19"/>
              </w:rPr>
              <w:t>cuenta de liquidación</w:t>
            </w:r>
            <w:r>
              <w:rPr>
                <w:sz w:val="19"/>
              </w:rPr>
              <w:t xml:space="preserve"> por ese valor y recorre el flujo normal hasta Tesorería. Los demás pagos no entregados quedan </w:t>
            </w:r>
            <w:r>
              <w:rPr>
                <w:b/>
                <w:sz w:val="19"/>
              </w:rPr>
              <w:t>anulados</w:t>
            </w:r>
            <w:r>
              <w:rPr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b/>
                <w:sz w:val="19"/>
              </w:rPr>
              <w:t>$0</w:t>
            </w:r>
          </w:p>
        </w:tc>
        <w:tc>
          <w:tcPr>
            <w:tcW w:type="dxa" w:w="7313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 xml:space="preserve">Todos los pagos no entregados quedan </w:t>
            </w:r>
            <w:r>
              <w:rPr>
                <w:b/>
                <w:sz w:val="19"/>
              </w:rPr>
              <w:t>anulados</w:t>
            </w:r>
            <w:r>
              <w:rPr>
                <w:sz w:val="19"/>
              </w:rPr>
              <w:t>. No queda nada por pagar.</w:t>
            </w:r>
          </w:p>
        </w:tc>
      </w:tr>
    </w:tbl>
    <w:p>
      <w:pPr>
        <w:spacing w:after="40"/>
      </w:pPr>
    </w:p>
    <w:p>
      <w:pPr>
        <w:pStyle w:val="ListBullet"/>
      </w:pPr>
      <w:r>
        <w:t xml:space="preserve">Las cuentas ya entregadas o en trámite </w:t>
      </w:r>
      <w:r>
        <w:rPr>
          <w:b/>
        </w:rPr>
        <w:t>no se modifican</w:t>
      </w:r>
      <w:r>
        <w:t>.</w:t>
      </w:r>
    </w:p>
    <w:p>
      <w:pPr>
        <w:pStyle w:val="ListBullet"/>
      </w:pPr>
      <w:r>
        <w:t>Las cuentas anuladas no cuentan en el dashboard, en las bandejas ni en el valor pendiente, y no aparecen en la consulta del contratista.</w:t>
      </w:r>
    </w:p>
    <w:p>
      <w:pPr>
        <w:pStyle w:val="ListBullet"/>
      </w:pPr>
      <w:r>
        <w:t xml:space="preserve">El contrato queda marcado como </w:t>
      </w:r>
      <w:r>
        <w:rPr>
          <w:b/>
        </w:rPr>
        <w:t>liquidado</w:t>
      </w:r>
      <w:r>
        <w:t>, con fecha, valor, motivo y quién lo registró.</w:t>
      </w:r>
    </w:p>
    <w:p>
      <w:pPr>
        <w:pStyle w:val="ListBullet"/>
      </w:pPr>
      <w:r>
        <w:t xml:space="preserve">Si hubo un error, el superadministrador puede usar </w:t>
      </w:r>
      <w:r>
        <w:rPr>
          <w:b/>
        </w:rPr>
        <w:t>↶ Revertir liquidación</w:t>
      </w:r>
      <w:r>
        <w:t xml:space="preserve"> mientras la cuenta de liquidación no haya entrado en trámite.</w:t>
      </w:r>
    </w:p>
    <w:p>
      <w:pPr>
        <w:pStyle w:val="Heading1"/>
        <w:pageBreakBefore w:val="0"/>
        <w:spacing w:before="520"/>
      </w:pPr>
      <w:r>
        <w:t>10. Certificados de cumplimiento EBS</w:t>
      </w:r>
    </w:p>
    <w:p>
      <w:r>
        <w:t xml:space="preserve">Para los contratos EBS, el aplicativo muestra si ya se emitió el </w:t>
      </w:r>
      <w:r>
        <w:rPr>
          <w:b/>
        </w:rPr>
        <w:t>certificado de cumplimiento</w:t>
      </w:r>
      <w:r>
        <w:t xml:space="preserve"> de cada pago (módulo Certificados EBS), con su número de radicado (ESP-116-XXXX-2026). Aparece en la columna </w:t>
      </w:r>
      <w:r>
        <w:rPr>
          <w:b/>
        </w:rPr>
        <w:t>Cert. cumplimiento</w:t>
      </w:r>
      <w:r>
        <w:t xml:space="preserve"> del listado de cuentas y en el detalle de la cuenta.</w:t>
      </w:r>
    </w:p>
    <w:p>
      <w:pPr>
        <w:pStyle w:val="Heading2"/>
      </w:pPr>
      <w:r>
        <w:t>Borrar un certificado (solo superadministrador)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1.  </w:t>
      </w:r>
      <w:r>
        <w:t xml:space="preserve">En el detalle de la cuenta, debajo del número del certificado, pulse </w:t>
      </w:r>
      <w:r>
        <w:rPr>
          <w:b/>
        </w:rPr>
        <w:t>🗑 Borrar certificado</w:t>
      </w:r>
      <w:r>
        <w:t xml:space="preserve">. También puede hacerlo desde la pestaña </w:t>
      </w:r>
      <w:r>
        <w:rPr>
          <w:b/>
        </w:rPr>
        <w:t>Emitidos</w:t>
      </w:r>
      <w:r>
        <w:t xml:space="preserve"> del módulo Certificados EBS (botón 🗑).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2.  </w:t>
      </w:r>
      <w:r>
        <w:t xml:space="preserve">Escriba el </w:t>
      </w:r>
      <w:r>
        <w:rPr>
          <w:b/>
        </w:rPr>
        <w:t>motivo</w:t>
      </w:r>
      <w:r>
        <w:t xml:space="preserve"> y confirme.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right w:val="nil"/>
          <w:left w:val="single" w:sz="24" w:color="B45309"/>
        </w:tblBorders>
      </w:tblPr>
      <w:tblGrid>
        <w:gridCol w:w="9632"/>
      </w:tblGrid>
      <w:tr>
        <w:trPr>
          <w:cantSplit w:val="true"/>
        </w:trPr>
        <w:tc>
          <w:tcPr>
            <w:tcW w:type="dxa" w:w="9581"/>
            <w:shd w:val="clear" w:color="auto" w:fill="FFF6E5"/>
          </w:tcPr>
          <w:p>
            <w:pPr>
              <w:spacing w:after="60"/>
            </w:pPr>
            <w:r>
              <w:rPr>
                <w:sz w:val="20"/>
              </w:rPr>
              <w:t xml:space="preserve">Si el certificado cubre varias cuentas, se borra completo. El número </w:t>
            </w:r>
            <w:r>
              <w:rPr>
                <w:b/>
                <w:sz w:val="20"/>
              </w:rPr>
              <w:t>no se vuelve a usar</w:t>
            </w:r>
            <w:r>
              <w:rPr>
                <w:sz w:val="20"/>
              </w:rPr>
              <w:t>: queda registrado como anulado con el motivo, la fecha y quién lo borró, y el consecutivo del radicador sigue avanzando.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11. Exportar a Excel</w:t>
      </w:r>
    </w:p>
    <w:p>
      <w:r>
        <w:t xml:space="preserve">El superadministrador puede descargar la información con el botón </w:t>
      </w:r>
      <w:r>
        <w:rPr>
          <w:b/>
        </w:rPr>
        <w:t>⬇ Excel</w:t>
      </w:r>
      <w:r>
        <w:t xml:space="preserve"> de la barra de filtros. El archivo respeta los filtros aplicados, así que sirve para sacar cortes </w:t>
      </w:r>
      <w:r>
        <w:rPr>
          <w:b/>
        </w:rPr>
        <w:t>por programa, por proceso o por mes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6E5"/>
          <w:left w:val="single" w:sz="4" w:color="C9D6E5"/>
          <w:bottom w:val="single" w:sz="4" w:color="C9D6E5"/>
          <w:right w:val="single" w:sz="4" w:color="C9D6E5"/>
          <w:insideH w:val="single" w:sz="4" w:color="C9D6E5"/>
          <w:insideV w:val="single" w:sz="4" w:color="C9D6E5"/>
        </w:tblBorders>
      </w:tblPr>
      <w:tblGrid>
        <w:gridCol w:w="4816"/>
        <w:gridCol w:w="4816"/>
      </w:tblGrid>
      <w:tr>
        <w:trPr>
          <w:tblHeader w:val="true"/>
        </w:trPr>
        <w:tc>
          <w:tcPr>
            <w:tcW w:type="dxa" w:w="1814"/>
            <w:shd w:val="clear" w:color="auto" w:fill="0F4C81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Hoja</w:t>
            </w:r>
          </w:p>
        </w:tc>
        <w:tc>
          <w:tcPr>
            <w:tcW w:type="dxa" w:w="7767"/>
            <w:shd w:val="clear" w:color="auto" w:fill="0F4C81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after="40"/>
            </w:pPr>
            <w:r>
              <w:rPr>
                <w:b/>
                <w:sz w:val="19"/>
              </w:rPr>
              <w:t>Seguimiento</w:t>
            </w:r>
          </w:p>
        </w:tc>
        <w:tc>
          <w:tcPr>
            <w:tcW w:type="dxa" w:w="7767"/>
            <w:vAlign w:val="top"/>
          </w:tcPr>
          <w:p>
            <w:pPr>
              <w:spacing w:after="40"/>
            </w:pPr>
            <w:r>
              <w:rPr>
                <w:sz w:val="19"/>
              </w:rPr>
              <w:t>Una fila por cuenta (número de pago incluido) con el formato de seguimiento: identificación, nombre, contrato, periodo, programa, resolución, municipio, valor del contrato y de la cuenta, radicado, factura, filtros de Salud Pública, Contratación y Subgerencia con fechas, supervisor, SECOP II, fecha de notificación al contratista, presupuesto, correo, pago (estado, valor, fecha, ND), proceso actual, días en el proceso, semáforo, devoluciones, certificado de cumplimiento y observaciones.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b/>
                <w:sz w:val="19"/>
              </w:rPr>
              <w:t>Historial</w:t>
            </w:r>
          </w:p>
        </w:tc>
        <w:tc>
          <w:tcPr>
            <w:tcW w:type="dxa" w:w="7767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Todos los movimientos de las cuentas exportadas: acción, desde y hacia qué proceso, fecha, motivo, usuario y rol.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after="40"/>
            </w:pPr>
            <w:r>
              <w:rPr>
                <w:b/>
                <w:sz w:val="19"/>
              </w:rPr>
              <w:t>Resumen</w:t>
            </w:r>
          </w:p>
        </w:tc>
        <w:tc>
          <w:tcPr>
            <w:tcW w:type="dxa" w:w="7767"/>
            <w:vAlign w:val="top"/>
          </w:tcPr>
          <w:p>
            <w:pPr>
              <w:spacing w:after="40"/>
            </w:pPr>
            <w:r>
              <w:rPr>
                <w:sz w:val="19"/>
              </w:rPr>
              <w:t>Por programa: cuentas en cada proceso, valor total, pagado, pendiente y vencidas.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520"/>
      </w:pPr>
      <w:r>
        <w:t>12. Consulta del contratista</w:t>
      </w:r>
    </w:p>
    <w:p>
      <w:r>
        <w:t xml:space="preserve">Los contratistas pueden ver en qué va su cuenta </w:t>
      </w:r>
      <w:r>
        <w:rPr>
          <w:b/>
        </w:rPr>
        <w:t>sin iniciar sesión</w:t>
      </w:r>
      <w:r>
        <w:t xml:space="preserve">, desde el botón </w:t>
      </w:r>
      <w:r>
        <w:rPr>
          <w:b/>
        </w:rPr>
        <w:t>🔎 Consulta contratista</w:t>
      </w:r>
      <w:r>
        <w:t xml:space="preserve"> o en:</w:t>
      </w:r>
    </w:p>
    <w:p>
      <w:r>
        <w:rPr>
          <w:color w:val="1565C0"/>
          <w:sz w:val="19"/>
        </w:rPr>
        <w:t>https://danto0702.github.io/portal-salud-publica-hrno/SEGUIMIENTO%20CUENTAS%20DE%20COBRO/Consulta_Cuenta.html</w:t>
      </w:r>
    </w:p>
    <w:p>
      <w:pPr>
        <w:pStyle w:val="ListBullet"/>
      </w:pPr>
      <w:r>
        <w:t xml:space="preserve">El contratista escribe su </w:t>
      </w:r>
      <w:r>
        <w:rPr>
          <w:b/>
        </w:rPr>
        <w:t>número de cédula</w:t>
      </w:r>
      <w:r>
        <w:t xml:space="preserve"> y ve cada uno de sus pagos: contrato, periodo, valor y el proceso en que está.</w:t>
      </w:r>
    </w:p>
    <w:p>
      <w:pPr>
        <w:pStyle w:val="ListBullet"/>
      </w:pPr>
      <w:r>
        <w:t xml:space="preserve">Si la cuenta fue </w:t>
      </w:r>
      <w:r>
        <w:rPr>
          <w:b/>
        </w:rPr>
        <w:t>devuelta</w:t>
      </w:r>
      <w:r>
        <w:t>, ve el motivo para corregirla.</w:t>
      </w:r>
    </w:p>
    <w:p>
      <w:pPr>
        <w:pStyle w:val="ListBullet"/>
      </w:pPr>
      <w:r>
        <w:t>Cuando la cuenta está en SECOP II, se le indica que cargue la cuenta e informe a Subgerencia por correo.</w:t>
      </w:r>
    </w:p>
    <w:p>
      <w:pPr>
        <w:pStyle w:val="ListBullet"/>
      </w:pPr>
      <w:r>
        <w:t xml:space="preserve">Por privacidad, solo se muestran las </w:t>
      </w:r>
      <w:r>
        <w:rPr>
          <w:b/>
        </w:rPr>
        <w:t>iniciales</w:t>
      </w:r>
      <w:r>
        <w:t xml:space="preserve"> del nombre.</w:t>
      </w:r>
    </w:p>
    <w:p>
      <w:pPr>
        <w:pStyle w:val="Heading1"/>
        <w:pageBreakBefore w:val="0"/>
        <w:spacing w:before="520"/>
      </w:pPr>
      <w:r>
        <w:t>13. Administración de usuarios (superadministrador)</w:t>
      </w:r>
    </w:p>
    <w:p>
      <w:pPr>
        <w:pStyle w:val="Heading2"/>
      </w:pPr>
      <w:r>
        <w:t>Crear un usuario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1.  </w:t>
      </w:r>
      <w:r>
        <w:t xml:space="preserve">Vaya a </w:t>
      </w:r>
      <w:r>
        <w:rPr>
          <w:b/>
        </w:rPr>
        <w:t>⚙ Administración → Crear usuario</w:t>
      </w:r>
      <w:r>
        <w:t>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2.  </w:t>
      </w:r>
      <w:r>
        <w:t xml:space="preserve">Escriba </w:t>
      </w:r>
      <w:r>
        <w:rPr>
          <w:b/>
        </w:rPr>
        <w:t>nombre completo</w:t>
      </w:r>
      <w:r>
        <w:t xml:space="preserve"> (así aparecerá en el historial), </w:t>
      </w:r>
      <w:r>
        <w:rPr>
          <w:b/>
        </w:rPr>
        <w:t>correo</w:t>
      </w:r>
      <w:r>
        <w:t xml:space="preserve">, </w:t>
      </w:r>
      <w:r>
        <w:rPr>
          <w:b/>
        </w:rPr>
        <w:t>cargo</w:t>
      </w:r>
      <w:r>
        <w:t xml:space="preserve"> y el </w:t>
      </w:r>
      <w:r>
        <w:rPr>
          <w:b/>
        </w:rPr>
        <w:t>rol en el módulo</w:t>
      </w:r>
      <w:r>
        <w:t>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3.  </w:t>
      </w:r>
      <w:r>
        <w:t xml:space="preserve">Deje la contraseña vacía para generar una </w:t>
      </w:r>
      <w:r>
        <w:rPr>
          <w:b/>
        </w:rPr>
        <w:t>provisional</w:t>
      </w:r>
      <w:r>
        <w:t xml:space="preserve"> (o escriba una de al menos 8 caracteres).</w:t>
      </w:r>
    </w:p>
    <w:p>
      <w:pPr>
        <w:spacing w:after="60"/>
        <w:ind w:left="510" w:hanging="340"/>
      </w:pPr>
      <w:r>
        <w:rPr>
          <w:b/>
          <w:color w:val="0F4C81"/>
        </w:rPr>
        <w:t xml:space="preserve">4.  </w:t>
      </w:r>
      <w:r>
        <w:t xml:space="preserve">Pulse </w:t>
      </w:r>
      <w:r>
        <w:rPr>
          <w:b/>
        </w:rPr>
        <w:t>＋ Crear usuario</w:t>
      </w:r>
      <w:r>
        <w:t xml:space="preserve">. Aparecen los </w:t>
      </w:r>
      <w:r>
        <w:rPr>
          <w:b/>
        </w:rPr>
        <w:t>datos de acceso</w:t>
      </w:r>
      <w:r>
        <w:t xml:space="preserve">: use </w:t>
      </w:r>
      <w:r>
        <w:rPr>
          <w:b/>
        </w:rPr>
        <w:t>📋 Copiar</w:t>
      </w:r>
      <w:r>
        <w:t xml:space="preserve"> y envíeselos a la persona. La contraseña no se vuelve a mostrar.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right w:val="nil"/>
          <w:left w:val="single" w:sz="24" w:color="1565C0"/>
        </w:tblBorders>
      </w:tblPr>
      <w:tblGrid>
        <w:gridCol w:w="9632"/>
      </w:tblGrid>
      <w:tr>
        <w:trPr>
          <w:cantSplit w:val="true"/>
        </w:trPr>
        <w:tc>
          <w:tcPr>
            <w:tcW w:type="dxa" w:w="9581"/>
            <w:shd w:val="clear" w:color="auto" w:fill="EAF2FB"/>
          </w:tcPr>
          <w:p>
            <w:pPr>
              <w:spacing w:after="60"/>
            </w:pPr>
            <w:r>
              <w:rPr>
                <w:sz w:val="20"/>
              </w:rPr>
              <w:t>Si el correo ya tiene cuenta en el portal (por ejemplo, porque usa otro módulo), se conserva su contraseña y solo se le asigna el rol.</w:t>
            </w:r>
          </w:p>
        </w:tc>
      </w:tr>
    </w:tbl>
    <w:p>
      <w:pPr>
        <w:spacing w:after="40"/>
      </w:pPr>
    </w:p>
    <w:p>
      <w:pPr>
        <w:pStyle w:val="Heading2"/>
      </w:pPr>
      <w:r>
        <w:t>Cambiar el rol o recuperar una contraseña</w:t>
      </w:r>
    </w:p>
    <w:p>
      <w:pPr>
        <w:pStyle w:val="ListBullet"/>
      </w:pPr>
      <w:r>
        <w:t xml:space="preserve">En </w:t>
      </w:r>
      <w:r>
        <w:rPr>
          <w:b/>
        </w:rPr>
        <w:t>Usuarios del módulo</w:t>
      </w:r>
      <w:r>
        <w:t xml:space="preserve"> están todos los usuarios del portal. Cambie el </w:t>
      </w:r>
      <w:r>
        <w:rPr>
          <w:b/>
        </w:rPr>
        <w:t>Rol en el módulo</w:t>
      </w:r>
      <w:r>
        <w:t xml:space="preserve"> y pulse </w:t>
      </w:r>
      <w:r>
        <w:rPr>
          <w:b/>
        </w:rPr>
        <w:t>Guardar</w:t>
      </w:r>
      <w:r>
        <w:t xml:space="preserve">. </w:t>
      </w:r>
      <w:r>
        <w:rPr>
          <w:b/>
        </w:rPr>
        <w:t>Sin acceso</w:t>
      </w:r>
      <w:r>
        <w:t xml:space="preserve"> le quita el módulo.</w:t>
      </w:r>
    </w:p>
    <w:p>
      <w:pPr>
        <w:pStyle w:val="ListBullet"/>
      </w:pPr>
      <w:r>
        <w:rPr>
          <w:b/>
        </w:rPr>
        <w:t>🔑 Nueva clave</w:t>
      </w:r>
      <w:r>
        <w:t xml:space="preserve"> asigna una contraseña provisional nueva y la muestra para enviarla.</w:t>
      </w:r>
    </w:p>
    <w:p>
      <w:pPr>
        <w:pStyle w:val="Heading2"/>
      </w:pPr>
      <w:r>
        <w:t>Plazos del semáforo y programas</w:t>
      </w:r>
    </w:p>
    <w:p>
      <w:r>
        <w:t xml:space="preserve">En la misma pestaña se ajustan los </w:t>
      </w:r>
      <w:r>
        <w:rPr>
          <w:b/>
        </w:rPr>
        <w:t>días de plazo</w:t>
      </w:r>
      <w:r>
        <w:t xml:space="preserve"> de cada proceso y la </w:t>
      </w:r>
      <w:r>
        <w:rPr>
          <w:b/>
        </w:rPr>
        <w:t>lista de programas</w:t>
      </w:r>
      <w:r>
        <w:t>.</w:t>
      </w:r>
    </w:p>
    <w:p>
      <w:pPr>
        <w:pStyle w:val="Heading2"/>
      </w:pPr>
      <w:r>
        <w:t>Correcciones</w:t>
      </w:r>
    </w:p>
    <w:p>
      <w:r>
        <w:t xml:space="preserve">En el detalle de cualquier cuenta, el superadministrador tiene la sección </w:t>
      </w:r>
      <w:r>
        <w:rPr>
          <w:b/>
        </w:rPr>
        <w:t>🛠 Corrección</w:t>
      </w:r>
      <w:r>
        <w:t>: puede mover la cuenta a cualquier proceso (con motivo) y corregir radicado, factura, ND, valores, fechas y estados.</w:t>
      </w:r>
    </w:p>
    <w:p>
      <w:pPr>
        <w:pStyle w:val="Heading1"/>
        <w:pageBreakBefore/>
      </w:pPr>
      <w:r>
        <w:t>14. Preguntas frecuentes y solución de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6E5"/>
          <w:left w:val="single" w:sz="4" w:color="C9D6E5"/>
          <w:bottom w:val="single" w:sz="4" w:color="C9D6E5"/>
          <w:right w:val="single" w:sz="4" w:color="C9D6E5"/>
          <w:insideH w:val="single" w:sz="4" w:color="C9D6E5"/>
          <w:insideV w:val="single" w:sz="4" w:color="C9D6E5"/>
        </w:tblBorders>
      </w:tblPr>
      <w:tblGrid>
        <w:gridCol w:w="4816"/>
        <w:gridCol w:w="4816"/>
      </w:tblGrid>
      <w:tr>
        <w:trPr>
          <w:tblHeader w:val="true"/>
        </w:trPr>
        <w:tc>
          <w:tcPr>
            <w:tcW w:type="dxa" w:w="3628"/>
            <w:shd w:val="clear" w:color="auto" w:fill="0F4C81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Situación</w:t>
            </w:r>
          </w:p>
        </w:tc>
        <w:tc>
          <w:tcPr>
            <w:tcW w:type="dxa" w:w="5953"/>
            <w:shd w:val="clear" w:color="auto" w:fill="0F4C81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Qué hacer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sz w:val="19"/>
              </w:rPr>
              <w:t>No veo la tarjeta o los cambios recientes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9"/>
              </w:rPr>
              <w:t xml:space="preserve">Recargue la página con </w:t>
            </w:r>
            <w:r>
              <w:rPr>
                <w:b/>
                <w:sz w:val="19"/>
              </w:rPr>
              <w:t>Ctrl + F5</w:t>
            </w:r>
            <w:r>
              <w:rPr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Aparece "Sin acceso al módulo"</w:t>
            </w:r>
          </w:p>
        </w:tc>
        <w:tc>
          <w:tcPr>
            <w:tcW w:type="dxa" w:w="5953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Pida al superadministrador que le asigne un rol.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sz w:val="19"/>
              </w:rPr>
              <w:t>No aparece el botón para aprobar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9"/>
              </w:rPr>
              <w:t>La cuenta no está en su proceso. El detalle indica a qué oficina le corresponde.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El sistema no deja aprobar en Subgerencia</w:t>
            </w:r>
          </w:p>
        </w:tc>
        <w:tc>
          <w:tcPr>
            <w:tcW w:type="dxa" w:w="5953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Falta el número de radicado (recuadro Datos de Subgerencia) o el de factura electrónica.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sz w:val="19"/>
              </w:rPr>
              <w:t>No puedo escribir el radicado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9"/>
              </w:rPr>
              <w:t>Solo el usuario de Subgerencia diligencia el radicado y la fecha de notificación.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Se aprobó o devolvió una cuenta por error</w:t>
            </w:r>
          </w:p>
        </w:tc>
        <w:tc>
          <w:tcPr>
            <w:tcW w:type="dxa" w:w="5953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 xml:space="preserve">Pida al superadministrador que la corrija con </w:t>
            </w:r>
            <w:r>
              <w:rPr>
                <w:b/>
                <w:sz w:val="19"/>
              </w:rPr>
              <w:t>🛠 Corrección → Mover a</w:t>
            </w:r>
            <w:r>
              <w:rPr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sz w:val="19"/>
              </w:rPr>
              <w:t>Olvidé mi contraseña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9"/>
              </w:rPr>
              <w:t>Pida una contraseña provisional al superadministrador (🔑 Nueva clave).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La suma del plan de pagos no coincide con el contrato</w:t>
            </w:r>
          </w:p>
        </w:tc>
        <w:tc>
          <w:tcPr>
            <w:tcW w:type="dxa" w:w="5953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Ajuste los valores en el plan del contrato (Salud Pública o superadministrador).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sz w:val="19"/>
              </w:rPr>
              <w:t>Un contratista no cumplió el contrato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9"/>
              </w:rPr>
              <w:t>Contratación o el superadministrador lo liquidan (capítulo 9).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El contratista pregunta por su pago</w:t>
            </w:r>
          </w:p>
        </w:tc>
        <w:tc>
          <w:tcPr>
            <w:tcW w:type="dxa" w:w="5953"/>
            <w:vAlign w:val="top"/>
            <w:shd w:val="clear" w:color="auto" w:fill="F1F6FC"/>
          </w:tcPr>
          <w:p>
            <w:pPr>
              <w:spacing w:after="40"/>
            </w:pPr>
            <w:r>
              <w:rPr>
                <w:sz w:val="19"/>
              </w:rPr>
              <w:t>Envíele el enlace de la consulta del contratista (capítulo 12).</w:t>
            </w:r>
          </w:p>
        </w:tc>
      </w:tr>
    </w:tbl>
    <w:p>
      <w:pPr>
        <w:spacing w:after="40"/>
      </w:pPr>
    </w:p>
    <w:p/>
    <w:p>
      <w:r>
        <w:rPr>
          <w:b/>
          <w:color w:val="4A6A8A"/>
          <w:sz w:val="20"/>
        </w:rPr>
        <w:t>Soporte:</w:t>
      </w:r>
      <w:r>
        <w:rPr>
          <w:color w:val="4A6A8A"/>
          <w:sz w:val="20"/>
        </w:rPr>
        <w:t xml:space="preserve"> Coordinación de Salud Pública · ESE Hospital Regional Noroccidental.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6A8A"/>
        <w:sz w:val="16"/>
      </w:rPr>
      <w:t xml:space="preserve">Manual de uso · Seguimiento de Cuentas de Cobro · ESE HRNO   ·   Página </w:t>
    </w:r>
    <w:r>
      <w:rPr>
        <w:sz w:val="16"/>
      </w:rPr>
      <w:fldChar w:fldCharType="begin"/>
      <w:instrText xml:space="preserve">PAGE</w:instrText>
      <w:fldChar w:fldCharType="end"/>
    </w:r>
  </w:p>
  <w:p>
    <w:pPr>
      <w:jc w:val="center"/>
    </w:pPr>
    <w:r>
      <w:rPr>
        <w:b/>
        <w:color w:val="4A6A8A"/>
        <w:sz w:val="15"/>
      </w:rPr>
      <w:t xml:space="preserve">By  </w:t>
    </w:r>
    <w:r>
      <w:drawing>
        <wp:inline xmlns:a="http://schemas.openxmlformats.org/drawingml/2006/main" xmlns:pic="http://schemas.openxmlformats.org/drawingml/2006/picture">
          <wp:extent cx="749100" cy="19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ascali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9100" cy="19800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0C1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4C8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4C8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