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b/>
          <w:bCs/>
          <w:color w:val="e8622a"/>
          <w:spacing w:val="100"/>
          <w:sz w:val="20"/>
          <w:szCs w:val="20"/>
        </w:rPr>
        <w:t xml:space="preserve">ROOKIES  ·  INTERNAL PLANNING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0f1f3d"/>
          <w:sz w:val="44"/>
          <w:szCs w:val="44"/>
        </w:rPr>
        <w:t xml:space="preserve">Feature Roadmap — Hybrid Matchmaking Model</w:t>
      </w:r>
    </w:p>
    <w:p>
      <w:pPr>
        <w:spacing w:after="80" w:before="0"/>
      </w:pPr>
      <w:r>
        <w:rPr>
          <w:i/>
          <w:iCs/>
          <w:color w:val="0f1f3d"/>
          <w:sz w:val="22"/>
          <w:szCs w:val="22"/>
        </w:rPr>
        <w:t xml:space="preserve">Persistent surface + periodic match clearing. Capability-based phasing.</w:t>
      </w:r>
    </w:p>
    <w:p>
      <w:pPr>
        <w:spacing w:after="320" w:before="0"/>
      </w:pPr>
      <w:r>
        <w:rPr>
          <w:color w:val="888888"/>
          <w:sz w:val="18"/>
          <w:szCs w:val="18"/>
        </w:rPr>
        <w:t xml:space="preserve">v0.1 · 26 May 2026 · Internal</w:t>
      </w:r>
    </w:p>
    <w:p>
      <w:pPr>
        <w:pBdr>
          <w:bottom w:val="single" w:color="e8622a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Context</w:t>
      </w:r>
    </w:p>
    <w:p>
      <w:pPr>
        <w:spacing w:after="120" w:line="300"/>
      </w:pPr>
      <w:r>
        <w:rPr>
          <w:color w:val="1a1a1a"/>
          <w:sz w:val="22"/>
          <w:szCs w:val="22"/>
        </w:rPr>
        <w:t xml:space="preserve">This document captures the feature scope for the version of Rookies that pivots from "ranked job board with AI rationale" to a hybrid product: a persistent platform layer that runs continuously, with periodic matchmaking cycles layered on top. The cycle layer is what operationalises the Roth-Shapley mechanism design the pitch memo describes. The persistent layer is what gives SMEs and students reasons to use Rookies between cycles, and what keeps the product usable without a confirmed university partner.</w:t>
      </w:r>
    </w:p>
    <w:p>
      <w:pPr>
        <w:spacing w:after="120" w:line="300"/>
      </w:pPr>
      <w:r>
        <w:rPr>
          <w:color w:val="1a1a1a"/>
          <w:sz w:val="22"/>
          <w:szCs w:val="22"/>
        </w:rPr>
        <w:t xml:space="preserve">Phasing below is capability-based, not partner-conditional. The MVP can ship as an open-market launch; cycle infrastructure goes live as soon as supply on both sides is credible, whether that supply comes from a university partner or organic acquisition. The hardest decision in this plan is when to run the first cycle — too early and it looks dead, too late and the IP narrative stays hypothetical.</w:t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Architecture overview</w:t>
      </w:r>
    </w:p>
    <w:p>
      <w:pPr>
        <w:spacing w:after="120" w:line="300"/>
      </w:pPr>
      <w:r>
        <w:rPr>
          <w:color w:val="1a1a1a"/>
          <w:sz w:val="22"/>
          <w:szCs w:val="22"/>
        </w:rPr>
        <w:t xml:space="preserve">Two layers, one product. The persistent layer is always on — profiles, jobs, directories, recruiter tooling, analytics. The cycle layer activates periodically: registration window, preference submission, Gale-Shapley clearing, results reveal, accept/decline. The persistent layer feeds the cycle (the pool of registered students and roles); the cycle writes back into the persistent layer (match outcomes, alumni state, longitudinal data for analytics).</w:t>
      </w:r>
    </w:p>
    <w:p>
      <w:pPr>
        <w:spacing w:after="200" w:before="160"/>
        <w:jc w:val="center"/>
      </w:pPr>
      <w:r>
        <w:drawing>
          <wp:inline distT="0" distB="0" distL="0" distR="0">
            <wp:extent cx="5715000" cy="3114675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0f1f3d"/>
          <w:sz w:val="18"/>
          <w:szCs w:val="18"/>
        </w:rPr>
        <w:t xml:space="preserve">Figure 1. Hybrid architecture. Persistent and cycle layers share data continuously.</w:t>
      </w:r>
    </w:p>
    <w:p>
      <w:r>
        <w:br w:type="page"/>
      </w:r>
    </w:p>
    <w:p>
      <w:pPr>
        <w:spacing w:after="60" w:before="60"/>
      </w:pPr>
      <w:r>
        <w:rPr>
          <w:b/>
          <w:bCs/>
          <w:color w:val="e8622a"/>
          <w:spacing w:val="80"/>
          <w:sz w:val="18"/>
          <w:szCs w:val="18"/>
        </w:rPr>
        <w:t xml:space="preserve">PHASE 0 / 1</w:t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MVP — Foundation</w:t>
      </w:r>
    </w:p>
    <w:p>
      <w:pPr>
        <w:spacing w:after="120" w:line="300"/>
      </w:pPr>
      <w:r>
        <w:rPr>
          <w:color w:val="1a1a1a"/>
          <w:sz w:val="22"/>
          <w:szCs w:val="22"/>
        </w:rPr>
        <w:t xml:space="preserve">Goal of this phase: ship the smallest product that lets us run one credible matchmaking cycle end-to-end, with audit-grade explainability from day one. No payments, no multi-cycle scheduling, no recruiter outreach product yet. Build the engine, prove the mechanism, generate the first cohort artefacts.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622a"/>
          <w:sz w:val="22"/>
          <w:szCs w:val="22"/>
        </w:rPr>
        <w:t xml:space="preserve">Feature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Identity &amp; roles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Three role types: student, employer recruiter, career officer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Supabase Auth, role on profile row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Email-domain verification for university association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KvK lookup for employers (NL)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Student profile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Structured CV: education, experiences, projects, skills, languages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CV upload with LLM parsing fallback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Work authorization + location + mobility preferences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Soft-skill self-assessment (anti-gaming guardrails)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Profile completeness score that gates cycle entry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Employer + jobs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Company profile (brand, sector, size, culture tags)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Recruiter seats per company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Job CRUD with structured fields (role type, skills, language, work auth, location, comp band)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Matching engine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Layer 1: quantitative scoring (linear optimisation over structured features)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Layer 2: Claude Sonnet 4.6 rationale layer per pair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Layer 3: Gale-Shapley runner with two-sided preferences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Per-match rationale stored permanently for audit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Cycle infrastructure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Single cycle, hand-scheduled (no automation yet)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State machine: scheduled → open → preferences → clearing → published → closed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Cap configuration (max students, max roles, max apps per role)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Eligibility check before cycle entry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Preference submission UI for both sides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Results experience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Embargoed clearing → coordinated reveal at release time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Match page with rationale rendered to both sides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Accept / decline workflow with deadline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Unmatched-role recovery (released back to pool)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GDPR consent flows, data export, deletion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EU AI Act Article 13: per-match rationale, audit log, model card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Demographic outcome monitoring (drift detection)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Terms of service versioning per cycle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Career Officer Console v1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Cohort registration tracking (who's in / not in)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Push reminders to register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Basic outcome dashboard (post-cycle)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Transactional email: cycle open, preferences reminder, results, accept/decline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In-app notifications</w:t>
            </w:r>
          </w:p>
        </w:tc>
      </w:tr>
    </w:tbl>
    <w:p>
      <w:r>
        <w:br w:type="page"/>
      </w:r>
    </w:p>
    <w:p>
      <w:pPr>
        <w:spacing w:after="60" w:before="60"/>
      </w:pPr>
      <w:r>
        <w:rPr>
          <w:b/>
          <w:bCs/>
          <w:color w:val="e8622a"/>
          <w:spacing w:val="80"/>
          <w:sz w:val="18"/>
          <w:szCs w:val="18"/>
        </w:rPr>
        <w:t xml:space="preserve">PHASE 2</w:t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Cycle activation</w:t>
      </w:r>
    </w:p>
    <w:p>
      <w:pPr>
        <w:spacing w:after="120" w:line="300"/>
      </w:pPr>
      <w:r>
        <w:rPr>
          <w:color w:val="1a1a1a"/>
          <w:sz w:val="22"/>
          <w:szCs w:val="22"/>
        </w:rPr>
        <w:t xml:space="preserve">Goal of this phase: turn the working cycle into a repeatable product. Multi-cycle scheduling, between-cycle utility, recruiter tooling, payment rails, and the analytics depth career offices will actually pay for. This is where Rookies stops being a working prototype and starts being a business.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622a"/>
          <w:sz w:val="22"/>
          <w:szCs w:val="22"/>
        </w:rPr>
        <w:t xml:space="preserve">Feature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Multi-cycle scheduling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Cycle calendar with overlapping windows allowed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Sector-specific or track-specific sub-cycles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Cohort-aligned cadence (semester anchored)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Cycle templating + automation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Commitment mechanism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Refundable deposits at cycle entry (€10 student / €100–500 employer)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Stripe-held escrow with automated refund on participation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No-show forfeit logic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Recruiter outreach product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Pre-scored shortlist view with rationale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One-click messaging with rationale-aware templates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Pipeline view: matched → interview → offer → accepted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Response tracking, notes, tagging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Calendar/scheduling link integration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Between-cycle surface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SME and startup directory (always browseable)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Save / follow companies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Compatibility hints between cycles (preview-grade scoring)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Career prep content &amp; resources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Featured content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Sponsored employer profiles (paid, never inside match results)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Sector spotlights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Video features &amp; employee testimonials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Career Officer Console v2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Longitudinal multi-year cohort view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Skills-gap report (employer demand vs cohort supply)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Cycle ops view: liquidity monitoring, registration pace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Faculty / board-ready PDF exports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Monetisation rails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Stripe integration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Tiered SaaS for employers (Free / SME / Mid / Enterprise)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Per-seat recruiter licensing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University license invoicing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Sponsorship slot management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Match guarantee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Re-match credit logic for paid employers when a match doesn't convert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Adjacent placement-fee tracking (opt-in for SMEs)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Cohort identity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Match badges ("Matched: Spring 2026")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Shareable match cards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Cohort-wide stats page per cycle</w:t>
            </w:r>
          </w:p>
        </w:tc>
      </w:tr>
    </w:tbl>
    <w:p>
      <w:r>
        <w:br w:type="page"/>
      </w:r>
    </w:p>
    <w:p>
      <w:pPr>
        <w:spacing w:after="60" w:before="60"/>
      </w:pPr>
      <w:r>
        <w:rPr>
          <w:b/>
          <w:bCs/>
          <w:color w:val="e8622a"/>
          <w:spacing w:val="80"/>
          <w:sz w:val="18"/>
          <w:szCs w:val="18"/>
        </w:rPr>
        <w:t xml:space="preserve">PHASE 3</w:t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Scale &amp; moat</w:t>
      </w:r>
    </w:p>
    <w:p>
      <w:pPr>
        <w:spacing w:after="120" w:line="300"/>
      </w:pPr>
      <w:r>
        <w:rPr>
          <w:color w:val="1a1a1a"/>
          <w:sz w:val="22"/>
          <w:szCs w:val="22"/>
        </w:rPr>
        <w:t xml:space="preserve">Goal of this phase: turn the system into infrastructure. Multi-university orchestration, alumni community, data products, and the kind of integrations that lock Rookies into the early-career hiring stack across Europe. This is also where the community moat described in section 6.4 of the pitch memo finally has data to compound on.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622a"/>
          <w:sz w:val="22"/>
          <w:szCs w:val="22"/>
        </w:rPr>
        <w:t xml:space="preserve">Feature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Multi-university orchestration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Cross-institution cycle calendar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Per-university branding &amp; co-marketed events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Cross-cohort analytics &amp; benchmarking (anonymised)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Localisation per market (NL → EU)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ATS connectors: Greenhouse, Personio, Workable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Calendar integrations (Google, Outlook)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SSO for university accounts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Webhook framework for employers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Sponsored cycles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Title sponsorship of named cycles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Sector cycles co-branded with industry partners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Sponsor positioning never inside match results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Alumni &amp; community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Alumni profile state post-graduation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30 / 60 / 90-day post-match check-ins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Cohort spaces (per university, per cycle)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Referral system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Alumni-only employer tier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products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Anonymised longitudinal dataset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Sector &amp; regional labour-market reports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Government / CBS data partnerships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Skills-gap intelligence as a paid product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/ engine licensing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Matching engine as B2B API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Bootcamp / alt-credential partner programme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Cross-EU pilot infrastructure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f3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Advanced compliance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Per-cycle bias auditing dashboards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Automated AI Act conformity reporting</w:t>
            </w:r>
          </w:p>
          <w:p>
            <w:pPr>
              <w:spacing w:after="40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Granular per-region data residency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Roadmap summary</w:t>
      </w:r>
    </w:p>
    <w:p>
      <w:pPr>
        <w:spacing w:after="120" w:line="300"/>
      </w:pPr>
      <w:r>
        <w:rPr>
          <w:color w:val="1a1a1a"/>
          <w:sz w:val="22"/>
          <w:szCs w:val="22"/>
        </w:rPr>
        <w:t xml:space="preserve">Each phase stacks on the previous. The persistent layer keeps growing in capability; the cycle layer becomes increasingly automated and instrumented. The phase boundaries are capability checkpoints, not calendar dates — Phase 2 begins when MVP has run at least one cycle end-to-end and produced a clean cohort outcome dataset; Phase 3 begins when the system has supported at least two universities in parallel.</w:t>
      </w:r>
    </w:p>
    <w:p>
      <w:pPr>
        <w:spacing w:after="200" w:before="160"/>
        <w:jc w:val="center"/>
      </w:pPr>
      <w:r>
        <w:drawing>
          <wp:inline distT="0" distB="0" distL="0" distR="0">
            <wp:extent cx="5905500" cy="3762375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0f1f3d"/>
          <w:sz w:val="18"/>
          <w:szCs w:val="18"/>
        </w:rPr>
        <w:t xml:space="preserve">Figure 2. Feature stack by phase. Each column builds on the previous.</w:t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Cycle lifecycle</w:t>
      </w:r>
    </w:p>
    <w:p>
      <w:pPr>
        <w:spacing w:after="120" w:line="300"/>
      </w:pPr>
      <w:r>
        <w:rPr>
          <w:color w:val="1a1a1a"/>
          <w:sz w:val="22"/>
          <w:szCs w:val="22"/>
        </w:rPr>
        <w:t xml:space="preserve">Every cycle moves through the same six states. The transitions are the hooks where compliance, comms, and analytics fire. Timing labels below assume a four-to-five-week cycle; faster or slower cadences scale proportionally.</w:t>
      </w:r>
    </w:p>
    <w:p>
      <w:pPr>
        <w:spacing w:after="200" w:before="160"/>
        <w:jc w:val="center"/>
      </w:pPr>
      <w:r>
        <w:drawing>
          <wp:inline distT="0" distB="0" distL="0" distR="0">
            <wp:extent cx="5905500" cy="268605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0f1f3d"/>
          <w:sz w:val="18"/>
          <w:szCs w:val="18"/>
        </w:rPr>
        <w:t xml:space="preserve">Figure 3. State machine for a single cycle. Each transition produces an audit record.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Dependencies &amp; risks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622a"/>
          <w:sz w:val="22"/>
          <w:szCs w:val="22"/>
        </w:rPr>
        <w:t xml:space="preserve">What MVP depends 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LLM scoring engine (score-match Edge Function) producing stable, defensible per-pair rationale. This is already in active build and is the technical critical path for MVP.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Enough supply on both sides to run a credible first cycle. Without a university partner, this means organic acquisition or sector-specific seeding. A first cycle of 50 students and 15 employers is a defensible minimum; below that the optics suffer.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Audit log + per-match rationale storage being built from day one, not retrofitted. EU AI Act compliance is non-negotiable and twice as expensive to add later.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622a"/>
          <w:sz w:val="22"/>
          <w:szCs w:val="22"/>
        </w:rPr>
        <w:t xml:space="preserve">Where the engineering hours actually go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The Gale-Shapley runner is one weekend. The audit, dispute, and explainability infrastructure around it is months.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The cycle state machine multiplies edge cases fast: missed preference deadlines, cancelled cycles, declined matches, mid-cycle slot changes, no-shows.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The preference submission UI is harder than it looks — it has to give students enough signal to rank with confidence without revealing absolute scores.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Career Officer Console deepening from "exists" to "a Dean will pay €100K for it" is its own multi-month track.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622a"/>
          <w:sz w:val="22"/>
          <w:szCs w:val="22"/>
        </w:rPr>
        <w:t xml:space="preserve">Risks worth naming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First-cycle liquidity. The biggest single risk to the hybrid model is a thin first cycle. Mitigation: pre-commit a minimum threshold below which the cycle is delayed rather than run, and seed both sides actively before launch.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Mechanism integrity. The product story collapses if Rookies ever sells ranking inside the match. Every monetisation lever in Phase 2 must respect the firewall between revenue and rank.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University dependency. Without a confirmed institutional partner, the early revenue picture loses its largest single contract. Build the product to work without one; treat any partner that does land as upside, not foundation.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Compliance scope creep. AI Act and GDPR demands will keep growing. Treat compliance infrastructure as core product, not overhead — it is the moat that LinkedIn and Magnet.me cannot easily replicate at NL scale.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622a"/>
          <w:sz w:val="22"/>
          <w:szCs w:val="22"/>
        </w:rPr>
        <w:t xml:space="preserve">Build sequencing — recommended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Months 1–2: identity, profiles, jobs, scoring engine integration.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Months 2–3: cycle state machine, preference UI, Gale-Shapley runner, audit log.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Months 3–4: results experience, accept/decline, Career Officer Console v1, comms.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Month 4: dry-run cycle with synthetic or seed users, validate end-to-end.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Month 5+: first real cycle, then begin Phase 2 work informed by what actually happened.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e862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0f1f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0f1f3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e862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a1a846515116bc30b8482ad846c9bcd716e346.png"/><Relationship Id="rId8" Type="http://schemas.openxmlformats.org/officeDocument/2006/relationships/image" Target="media/65be23974af27b665bb0ba619e0935458540888c.png"/><Relationship Id="rId9" Type="http://schemas.openxmlformats.org/officeDocument/2006/relationships/image" Target="media/7ff0560d44b93422607646bdff92d1ce64a94fd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Rookies — Feature Roadmap (Hybrid)</dc:title>
  <dc:creator>Dan Poenaru</dc:creator>
  <cp:lastModifiedBy>Un-named</cp:lastModifiedBy>
  <cp:revision>1</cp:revision>
  <dcterms:created xsi:type="dcterms:W3CDTF">2026-05-26T17:14:56.798Z</dcterms:created>
  <dcterms:modified xsi:type="dcterms:W3CDTF">2026-05-26T17:14:56.798Z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