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ROOKIES</w:t>
      </w:r>
    </w:p>
    <w:p>
      <w:pPr>
        <w:spacing w:after="60"/>
        <w:jc w:val="center"/>
      </w:pPr>
      <w:r>
        <w:rPr>
          <w:sz w:val="28"/>
          <w:szCs w:val="28"/>
        </w:rPr>
        <w:t xml:space="preserve">Market Assumption Stress Test</w:t>
      </w:r>
    </w:p>
    <w:p>
      <w:pPr>
        <w:spacing w:after="360"/>
        <w:jc w:val="center"/>
      </w:pPr>
      <w:r>
        <w:rPr>
          <w:i/>
          <w:iCs/>
          <w:color w:val="666666"/>
        </w:rPr>
        <w:t xml:space="preserve">Strategic SaaS analyst review · 25 May 2026 · Confidential</w:t>
      </w:r>
    </w:p>
    <w:p>
      <w:pPr>
        <w:pStyle w:val="Heading1"/>
        <w:spacing w:after="160" w:before="360"/>
      </w:pPr>
      <w:r>
        <w:t xml:space="preserve">Method note</w:t>
      </w:r>
    </w:p>
    <w:p>
      <w:pPr>
        <w:spacing w:after="120" w:before="0" w:line="300"/>
      </w:pPr>
      <w:r>
        <w:t xml:space="preserve">The brief from the founder did not specify which assumptions to test, so the 3-5 most load-bearing market assumptions were extracted from the pitch memo itself. They are listed below as A1-A5. Each is what the document implicitly relies on to be true for the funding case to hold; rejecting any one materially weakens the thesis.</w:t>
      </w:r>
    </w:p>
    <w:p>
      <w:pPr>
        <w:spacing w:after="120" w:before="0" w:line="300"/>
      </w:pPr>
      <w:r>
        <w:t xml:space="preserve">This review is deliberately adversarial. The founder asked for stress-testing, not endorsement. Where the memo's claims are well-supported, this is noted briefly. Where they are weak, contradicted by the public record, or rest on unstated assumptions, the report is direct. All external claims are sourced; see the Sources section at the end.</w:t>
      </w:r>
    </w:p>
    <w:p>
      <w:pPr>
        <w:pStyle w:val="Heading1"/>
        <w:spacing w:after="160" w:before="360"/>
      </w:pPr>
      <w:r>
        <w:t xml:space="preserve">The five load-bearing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rPr>
              <w:t xml:space="preserve">#</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Assumption (as the memo presents it)</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Validity</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A1</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matching layer is the binding constraint in early-career hiring. Fix matching and the market clears.</w:t>
            </w:r>
          </w:p>
        </w:tc>
        <w:tc>
          <w:tcPr>
            <w:tcW w:type="dxa" w:w="30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r>
              <w:t xml:space="preserve">Mixed Evidence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A2</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Universities are the right wedge. Career offices will buy €5K-€15K/year of analytics + matching tooling and will deliver student and employer pull-through.</w:t>
            </w:r>
          </w:p>
        </w:tc>
        <w:tc>
          <w:tcPr>
            <w:tcW w:type="dxa" w:w="3000"/>
            <w:tcBorders>
              <w:top w:val="single" w:color="BFBFBF" w:sz="4"/>
              <w:left w:val="single" w:color="BFBFBF" w:sz="4"/>
              <w:bottom w:val="single" w:color="BFBFBF" w:sz="4"/>
              <w:right w:val="single" w:color="BFBFBF" w:sz="4"/>
            </w:tcBorders>
            <w:shd w:fill="F4B084" w:val="clear"/>
            <w:tcMar>
              <w:top w:type="dxa" w:w="100"/>
              <w:left w:type="dxa" w:w="140"/>
              <w:bottom w:type="dxa" w:w="100"/>
              <w:right w:type="dxa" w:w="140"/>
            </w:tcMar>
          </w:tcPr>
          <w:p>
            <w:r>
              <w:t xml:space="preserve">Weak Evidence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A3</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Freemium-to-SaaS on the employer side converts at ~5%. The visibility tax is acute enough that NL SMEs will adopt the free tier in volume and upgrade.</w:t>
            </w:r>
          </w:p>
        </w:tc>
        <w:tc>
          <w:tcPr>
            <w:tcW w:type="dxa" w:w="3000"/>
            <w:tcBorders>
              <w:top w:val="single" w:color="BFBFBF" w:sz="4"/>
              <w:left w:val="single" w:color="BFBFBF" w:sz="4"/>
              <w:bottom w:val="single" w:color="BFBFBF" w:sz="4"/>
              <w:right w:val="single" w:color="BFBFBF" w:sz="4"/>
            </w:tcBorders>
            <w:shd w:fill="F4B084" w:val="clear"/>
            <w:tcMar>
              <w:top w:type="dxa" w:w="100"/>
              <w:left w:type="dxa" w:w="140"/>
              <w:bottom w:type="dxa" w:w="100"/>
              <w:right w:type="dxa" w:w="140"/>
            </w:tcMar>
          </w:tcPr>
          <w:p>
            <w:r>
              <w:t xml:space="preserve">Weak Evidence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A4</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Mechanism-design (Roth-Shapley) transfers from medical residency, kidney exchange, and school choice to early-career labor markets, producing demonstrably better outcomes.</w:t>
            </w:r>
          </w:p>
        </w:tc>
        <w:tc>
          <w:tcPr>
            <w:tcW w:type="dxa" w:w="30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r>
              <w:t xml:space="preserve">Mixed Evidence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TAM of ~€100M NL and €2-3B EU is reachable; revenue path of €60K (2026) → €1.65M (2028) → €13M+ (2030) ARR is plausible.</w:t>
            </w:r>
          </w:p>
        </w:tc>
        <w:tc>
          <w:tcPr>
            <w:tcW w:type="dxa" w:w="3000"/>
            <w:tcBorders>
              <w:top w:val="single" w:color="BFBFBF" w:sz="4"/>
              <w:left w:val="single" w:color="BFBFBF" w:sz="4"/>
              <w:bottom w:val="single" w:color="BFBFBF" w:sz="4"/>
              <w:right w:val="single" w:color="BFBFBF" w:sz="4"/>
            </w:tcBorders>
            <w:shd w:fill="F4B084" w:val="clear"/>
            <w:tcMar>
              <w:top w:type="dxa" w:w="100"/>
              <w:left w:type="dxa" w:w="140"/>
              <w:bottom w:type="dxa" w:w="100"/>
              <w:right w:type="dxa" w:w="140"/>
            </w:tcMar>
          </w:tcPr>
          <w:p>
            <w:r>
              <w:t xml:space="preserve">Weak Evidence</w:t>
            </w:r>
          </w:p>
        </w:tc>
      </w:tr>
    </w:tbl>
    <w:p>
      <w:pPr>
        <w:spacing w:after="120" w:before="0" w:line="300"/>
      </w:pPr>
      <w:r>
        <w:t xml:space="preserve"> </w:t>
      </w:r>
    </w:p>
    <w:p>
      <w:pPr>
        <w:pStyle w:val="Heading1"/>
        <w:spacing w:after="160" w:before="360"/>
      </w:pPr>
      <w:r>
        <w:t xml:space="preserve">1. Assumption audit</w:t>
      </w:r>
    </w:p>
    <w:p>
      <w:pPr>
        <w:pStyle w:val="Heading2"/>
        <w:spacing w:after="100" w:before="260"/>
      </w:pPr>
      <w:r>
        <w:t xml:space="preserve">A1. The matching layer is the binding constraint</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BFBFBF" w:sz="4"/>
              <w:left w:val="single" w:color="BFBFBF" w:sz="4"/>
              <w:bottom w:val="single" w:color="BFBFBF" w:sz="4"/>
              <w:right w:val="single" w:color="BFBFBF" w:sz="4"/>
            </w:tcBorders>
            <w:shd w:fill="FFE699" w:val="clear"/>
            <w:tcMar>
              <w:top w:type="dxa" w:w="60"/>
              <w:left w:type="dxa" w:w="140"/>
              <w:bottom w:type="dxa" w:w="60"/>
              <w:right w:type="dxa" w:w="140"/>
            </w:tcMar>
          </w:tcPr>
          <w:p>
            <w:pPr>
              <w:jc w:val="center"/>
            </w:pPr>
            <w:r>
              <w:rPr>
                <w:b/>
                <w:bCs/>
                <w:sz w:val="22"/>
                <w:szCs w:val="22"/>
              </w:rPr>
              <w:t xml:space="preserve">Mixed Evidence</w:t>
            </w:r>
          </w:p>
        </w:tc>
      </w:tr>
    </w:tbl>
    <w:p>
      <w:pPr>
        <w:spacing w:after="120" w:before="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the memo claims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early-career market does not clear because the matching architecture is broken (visibility tax + one-sided scoring + AI-vs-AI). Fix matching, the market clears.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Supporting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Dutch youth unemployment is 9.1-9.2% while 400,000 vacancies sit unfilled — a textbook mismatch, not a demand shortage. Utrecht's alderwoman explicitly frames this as a labour-market 'mismatch' between supply and demand of alumni.</w:t>
            </w:r>
          </w:p>
          <w:p>
            <w:pPr>
              <w:pStyle w:val="ListParagraph"/>
              <w:numPr>
                <w:ilvl w:val="0"/>
                <w:numId w:val="2"/>
              </w:numPr>
              <w:spacing w:after="80"/>
            </w:pPr>
            <w:r>
              <w:t xml:space="preserve">Recruiter behaviour data (7-second CV review, AI screening at &gt;80% of large EU employers under the EU AI Act 2026 regime) supports the AI-vs-AI critique.</w:t>
            </w:r>
          </w:p>
          <w:p>
            <w:pPr>
              <w:pStyle w:val="ListParagraph"/>
              <w:numPr>
                <w:ilvl w:val="0"/>
                <w:numId w:val="2"/>
              </w:numPr>
              <w:spacing w:after="80"/>
            </w:pPr>
            <w:r>
              <w:t xml:space="preserve">Magnet.me, LinkedIn, JobTeaser, and Indeed are all filter-and-tag matching, not preference-aware. The architectural gap exists.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Contradicting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Entry-level developer postings in NL fell ~40% in recent years (Talentup). If supply collapse is the binding constraint, no matching architecture will move the needle. The 'mismatch' framing may itself be partly a euphemism for AI-driven contraction of junior demand.</w:t>
            </w:r>
          </w:p>
          <w:p>
            <w:pPr>
              <w:pStyle w:val="ListParagraph"/>
              <w:numPr>
                <w:ilvl w:val="0"/>
                <w:numId w:val="2"/>
              </w:numPr>
              <w:spacing w:after="80"/>
            </w:pPr>
            <w:r>
              <w:t xml:space="preserve">Students' first-job dysfunction is driven at least as much by skills gaps and English-language friction (per Leiden/Utrecht commentary) as by matching. The memo frames matching as monocausal; the academic and policy literature treats it as one factor among several.</w:t>
            </w:r>
          </w:p>
          <w:p>
            <w:pPr>
              <w:pStyle w:val="ListParagraph"/>
              <w:numPr>
                <w:ilvl w:val="0"/>
                <w:numId w:val="2"/>
              </w:numPr>
              <w:spacing w:after="80"/>
            </w:pPr>
            <w:r>
              <w:t xml:space="preserve">The memo's '120+ applications per junior opening' is plausible but not directly sourced for NL in the public record. LinkedIn's own 2026 benchmark is 74 applications per sponsored posting in 48 hours — high, but in the global, all-levels average. The Dutch-junior-specific number could not be verified.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would need to be true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Stable preferences exist on both sides and are observable from data the platform can access (CVs, course history, employer requirements). Currently unproven for early-career.</w:t>
            </w:r>
          </w:p>
          <w:p>
            <w:pPr>
              <w:pStyle w:val="ListParagraph"/>
              <w:numPr>
                <w:ilvl w:val="0"/>
                <w:numId w:val="2"/>
              </w:numPr>
              <w:spacing w:after="80"/>
            </w:pPr>
            <w:r>
              <w:t xml:space="preserve">Match quality improvements would actually translate to better outcomes (retention, time-to-fill, salary) — and would do so visibly within the 6-12 month pilot window investors will judge.</w:t>
            </w:r>
          </w:p>
          <w:p>
            <w:pPr>
              <w:pStyle w:val="ListParagraph"/>
              <w:numPr>
                <w:ilvl w:val="0"/>
                <w:numId w:val="2"/>
              </w:numPr>
              <w:spacing w:after="80"/>
            </w:pPr>
            <w:r>
              <w:t xml:space="preserve">The Dutch demand-side contraction is cyclical/AI-driven, not structural — otherwise Rookies is matching candidates to a shrinking pool of vacancies.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Verdict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diagnosis is partially right but framed too cleanly. Matching is a real failure mode; it is not the only one, and treating it as the binding constraint risks ignoring upstream demand and skills factors. An investor will press: 'Even with perfect matching, do these 184K graduates have the skills for the 400K open roles?' The memo does not answer this.</w:t>
            </w:r>
          </w:p>
        </w:tc>
      </w:tr>
    </w:tbl>
    <w:p>
      <w:pPr>
        <w:spacing w:after="120" w:before="0" w:line="300"/>
      </w:pPr>
      <w:r>
        <w:t xml:space="preserve"> </w:t>
      </w:r>
    </w:p>
    <w:p>
      <w:pPr>
        <w:pStyle w:val="Heading2"/>
        <w:spacing w:after="100" w:before="260"/>
      </w:pPr>
      <w:r>
        <w:t xml:space="preserve">A2. Universities are the right wedge</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BFBFBF" w:sz="4"/>
              <w:left w:val="single" w:color="BFBFBF" w:sz="4"/>
              <w:bottom w:val="single" w:color="BFBFBF" w:sz="4"/>
              <w:right w:val="single" w:color="BFBFBF" w:sz="4"/>
            </w:tcBorders>
            <w:shd w:fill="F4B084" w:val="clear"/>
            <w:tcMar>
              <w:top w:type="dxa" w:w="60"/>
              <w:left w:type="dxa" w:w="140"/>
              <w:bottom w:type="dxa" w:w="60"/>
              <w:right w:type="dxa" w:w="140"/>
            </w:tcMar>
          </w:tcPr>
          <w:p>
            <w:pPr>
              <w:jc w:val="center"/>
            </w:pPr>
            <w:r>
              <w:rPr>
                <w:b/>
                <w:bCs/>
                <w:sz w:val="22"/>
                <w:szCs w:val="22"/>
              </w:rPr>
              <w:t xml:space="preserve">Weak Evidence</w:t>
            </w:r>
          </w:p>
        </w:tc>
      </w:tr>
    </w:tbl>
    <w:p>
      <w:pPr>
        <w:spacing w:after="120" w:before="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the memo claims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Win universities first; students and employers follow. €5K-€15K institutional SaaS funds the wedge; the career office is the buyer.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Supporting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Dutch universities do have an unmet need for cohort outcome analytics; the memo is correct that career-office tooling is dated. EU AI Act Article 13 adds compliance pressure on existing vendors.</w:t>
            </w:r>
          </w:p>
          <w:p>
            <w:pPr>
              <w:pStyle w:val="ListParagraph"/>
              <w:numPr>
                <w:ilvl w:val="0"/>
                <w:numId w:val="2"/>
              </w:numPr>
              <w:spacing w:after="80"/>
            </w:pPr>
            <w:r>
              <w:t xml:space="preserve">Founder is embedded at Tilburg with a senior academic advisor — credible entry at one institution.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Contradicting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JobTeaser already serves 800+ European institutions including ~5 Dutch research universities; 2M+ qualified talents on platform; just merged with Graduateland (Nov 2024) to consolidate Northern Europe. The incumbent is more embedded than the memo concedes.</w:t>
            </w:r>
          </w:p>
          <w:p>
            <w:pPr>
              <w:pStyle w:val="ListParagraph"/>
              <w:numPr>
                <w:ilvl w:val="0"/>
                <w:numId w:val="2"/>
              </w:numPr>
              <w:spacing w:after="80"/>
            </w:pPr>
            <w:r>
              <w:t xml:space="preserve">Handshake — $3.5B valuation, $172M ARR in 2024, 100+ EU employees — has been actively expanding into UK/France/Germany/Austria/Portugal since 2020 and acquired Talentspace in 2022. The memo's claim that LinkedIn/Indeed 'will not enter this segment seriously' is true in the narrow LinkedIn/Indeed sense and dangerously misleading once Handshake is on the board.</w:t>
            </w:r>
          </w:p>
          <w:p>
            <w:pPr>
              <w:pStyle w:val="ListParagraph"/>
              <w:numPr>
                <w:ilvl w:val="0"/>
                <w:numId w:val="2"/>
              </w:numPr>
              <w:spacing w:after="80"/>
            </w:pPr>
            <w:r>
              <w:t xml:space="preserve">Dutch university procurement cycles are 6-18 months. A pre-seed startup with no track record selling category-creating institutional SaaS against established vendors is a hard motion regardless of academic relationships. The Tilburg embed is not generalisable evidence — it is N=1 plus team-personal ties.</w:t>
            </w:r>
          </w:p>
          <w:p>
            <w:pPr>
              <w:pStyle w:val="ListParagraph"/>
              <w:numPr>
                <w:ilvl w:val="0"/>
                <w:numId w:val="2"/>
              </w:numPr>
              <w:spacing w:after="80"/>
            </w:pPr>
            <w:r>
              <w:t xml:space="preserve">Career-services budgets are small, slow, and risk-averse. €5-15K ACV × 50 institutions = €0.25-0.75M ARR ceiling from university licences alone. The revenue path therefore depends on the employer side, not the wedge.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would need to be true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At least 3 NL institutions sign annual contracts (not unpaid pilots) by end of 2027. Without this, the phase-2/phase-3 plan compounds nothing.</w:t>
            </w:r>
          </w:p>
          <w:p>
            <w:pPr>
              <w:pStyle w:val="ListParagraph"/>
              <w:numPr>
                <w:ilvl w:val="0"/>
                <w:numId w:val="2"/>
              </w:numPr>
              <w:spacing w:after="80"/>
            </w:pPr>
            <w:r>
              <w:t xml:space="preserve">Universities accept switching cost from existing JobTeaser/in-house tooling. This requires data export, integration with student information systems (Osiris, Studielink), and DUO data flows under GDPR — all heavy.</w:t>
            </w:r>
          </w:p>
          <w:p>
            <w:pPr>
              <w:pStyle w:val="ListParagraph"/>
              <w:numPr>
                <w:ilvl w:val="0"/>
                <w:numId w:val="2"/>
              </w:numPr>
              <w:spacing w:after="80"/>
            </w:pPr>
            <w:r>
              <w:t xml:space="preserve">Handshake does not announce a Dutch market entry in the next 12-18 months. If they do, the wedge closes.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Verdict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This is the most fragile assumption in the deck. Institutional SaaS sales is a difficult motion for pre-seed teams in any market, and this market already has two well-capitalised incumbents (JobTeaser, Handshake) with the same wedge. The Tilburg story is genuinely good; the implied generalisation to 50 institutions in 36 months is unevidenced.</w:t>
            </w:r>
          </w:p>
        </w:tc>
      </w:tr>
    </w:tbl>
    <w:p>
      <w:pPr>
        <w:spacing w:after="120" w:before="0" w:line="300"/>
      </w:pPr>
      <w:r>
        <w:t xml:space="preserve"> </w:t>
      </w:r>
    </w:p>
    <w:p>
      <w:pPr>
        <w:pStyle w:val="Heading2"/>
        <w:spacing w:after="100" w:before="260"/>
      </w:pPr>
      <w:r>
        <w:t xml:space="preserve">A3. SME freemium-to-SaaS converts at ~5%</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BFBFBF" w:sz="4"/>
              <w:left w:val="single" w:color="BFBFBF" w:sz="4"/>
              <w:bottom w:val="single" w:color="BFBFBF" w:sz="4"/>
              <w:right w:val="single" w:color="BFBFBF" w:sz="4"/>
            </w:tcBorders>
            <w:shd w:fill="F4B084" w:val="clear"/>
            <w:tcMar>
              <w:top w:type="dxa" w:w="60"/>
              <w:left w:type="dxa" w:w="140"/>
              <w:bottom w:type="dxa" w:w="60"/>
              <w:right w:type="dxa" w:w="140"/>
            </w:tcMar>
          </w:tcPr>
          <w:p>
            <w:pPr>
              <w:jc w:val="center"/>
            </w:pPr>
            <w:r>
              <w:rPr>
                <w:b/>
                <w:bCs/>
                <w:sz w:val="22"/>
                <w:szCs w:val="22"/>
              </w:rPr>
              <w:t xml:space="preserve">Weak Evidence</w:t>
            </w:r>
          </w:p>
        </w:tc>
      </w:tr>
    </w:tbl>
    <w:p>
      <w:pPr>
        <w:spacing w:after="120" w:before="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the memo claims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Free for every Dutch employer to post; paid tiers unlock AI shortlists, branding, analytics. 5% conversion target on 10,000 employers in the first 18 months.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Supporting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Two-thirds of Dutch businesses report staff shortages (CBS/FirstAIMovers). The willingness to try a free recruitment tool exists, especially for SMEs in services, retail, and healthcare.</w:t>
            </w:r>
          </w:p>
          <w:p>
            <w:pPr>
              <w:pStyle w:val="ListParagraph"/>
              <w:numPr>
                <w:ilvl w:val="0"/>
                <w:numId w:val="2"/>
              </w:numPr>
              <w:spacing w:after="80"/>
            </w:pPr>
            <w:r>
              <w:t xml:space="preserve">The 'visibility tax' framing resonates with SME founders. Brand-poor employers do struggle on LinkedIn/Indeed.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Contradicting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5% freemium-to-paid conversion is at the optimistic end of B2B SaaS benchmarks. HR-tech and recruitment freemium typically converts at 1-3% in steady state, and lower in years 1-2 before brand and case studies exist. There is no evidence in the memo that the Rookies conversion will be in the top quartile.</w:t>
            </w:r>
          </w:p>
          <w:p>
            <w:pPr>
              <w:pStyle w:val="ListParagraph"/>
              <w:numPr>
                <w:ilvl w:val="0"/>
                <w:numId w:val="2"/>
              </w:numPr>
              <w:spacing w:after="80"/>
            </w:pPr>
            <w:r>
              <w:t xml:space="preserve">SMEs hiring 1-2 graduates per year have low absolute willingness-to-pay. €99-€299/month is a non-trivial commitment for an employer hiring one role annually. The buyer is also the founder/owner, not a procurement-equipped HR team — a notoriously hard customer to upsell.</w:t>
            </w:r>
          </w:p>
          <w:p>
            <w:pPr>
              <w:pStyle w:val="ListParagraph"/>
              <w:numPr>
                <w:ilvl w:val="0"/>
                <w:numId w:val="2"/>
              </w:numPr>
              <w:spacing w:after="80"/>
            </w:pPr>
            <w:r>
              <w:t xml:space="preserve">LinkedIn job postings already operate on a per-post pricing model (€100-€500 typical, per Manatal). Rookies' value-add must clear that bar. Free-versus-LinkedIn is a real comparison; SME has a budget line for the latter already.</w:t>
            </w:r>
          </w:p>
          <w:p>
            <w:pPr>
              <w:pStyle w:val="ListParagraph"/>
              <w:numPr>
                <w:ilvl w:val="0"/>
                <w:numId w:val="2"/>
              </w:numPr>
              <w:spacing w:after="80"/>
            </w:pPr>
            <w:r>
              <w:t xml:space="preserve">Joboti — a comparable Dutch SME-focused recruitment tech play — was acquired by Textkernel (the consolidator), suggesting that independent SME recruitment tools struggle to reach scale alone.</w:t>
            </w:r>
          </w:p>
          <w:p>
            <w:pPr>
              <w:pStyle w:val="ListParagraph"/>
              <w:numPr>
                <w:ilvl w:val="0"/>
                <w:numId w:val="2"/>
              </w:numPr>
              <w:spacing w:after="80"/>
            </w:pPr>
            <w:r>
              <w:t xml:space="preserve">Cold-start: the freemium funnel needs both sides populated before either side gets value. With no students-on-platform until pilot universities ship, employer activation will lag and conversion will be back-loaded.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would need to be true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By month 6 post-launch at the first paying university, ≥1,000 employer accounts are active (not just signed up) AND ≥2% convert to paid. If only 0.5-1% convert, the unit economics break.</w:t>
            </w:r>
          </w:p>
          <w:p>
            <w:pPr>
              <w:pStyle w:val="ListParagraph"/>
              <w:numPr>
                <w:ilvl w:val="0"/>
                <w:numId w:val="2"/>
              </w:numPr>
              <w:spacing w:after="80"/>
            </w:pPr>
            <w:r>
              <w:t xml:space="preserve">A clear paid-tier value driver beyond shortlisting. Recruiter branding and longitudinal analytics need to deliver visible ROI; the memo asserts this but provides no benchmark or willingness-to-pay study.</w:t>
            </w:r>
          </w:p>
          <w:p>
            <w:pPr>
              <w:pStyle w:val="ListParagraph"/>
              <w:numPr>
                <w:ilvl w:val="0"/>
                <w:numId w:val="2"/>
              </w:numPr>
              <w:spacing w:after="80"/>
            </w:pPr>
            <w:r>
              <w:t xml:space="preserve">Average revenue per paying employer of ≥€1,500/year. Below that, even 5% conversion of 10,000 employers (= 500 paying) yields &lt;€750K ARR, which would not validate the €1.65M 2028 milestone.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Verdict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5% is aspirational. A plausible base case is 1-2% over the first 18 months with substantial founder-led sales. Even at that, the model is workable, but the memo presents the optimistic number as the planning number — a common pre-seed pattern that does not survive Series A diligence.</w:t>
            </w:r>
          </w:p>
        </w:tc>
      </w:tr>
    </w:tbl>
    <w:p>
      <w:pPr>
        <w:spacing w:after="120" w:before="0" w:line="300"/>
      </w:pPr>
      <w:r>
        <w:t xml:space="preserve"> </w:t>
      </w:r>
    </w:p>
    <w:p>
      <w:pPr>
        <w:pStyle w:val="Heading2"/>
        <w:spacing w:after="100" w:before="260"/>
      </w:pPr>
      <w:r>
        <w:t xml:space="preserve">A4. Mechanism design transfers from residency to early-career labor</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BFBFBF" w:sz="4"/>
              <w:left w:val="single" w:color="BFBFBF" w:sz="4"/>
              <w:bottom w:val="single" w:color="BFBFBF" w:sz="4"/>
              <w:right w:val="single" w:color="BFBFBF" w:sz="4"/>
            </w:tcBorders>
            <w:shd w:fill="FFE699" w:val="clear"/>
            <w:tcMar>
              <w:top w:type="dxa" w:w="60"/>
              <w:left w:type="dxa" w:w="140"/>
              <w:bottom w:type="dxa" w:w="60"/>
              <w:right w:type="dxa" w:w="140"/>
            </w:tcMar>
          </w:tcPr>
          <w:p>
            <w:pPr>
              <w:jc w:val="center"/>
            </w:pPr>
            <w:r>
              <w:rPr>
                <w:b/>
                <w:bCs/>
                <w:sz w:val="22"/>
                <w:szCs w:val="22"/>
              </w:rPr>
              <w:t xml:space="preserve">Mixed Evidence</w:t>
            </w:r>
          </w:p>
        </w:tc>
      </w:tr>
    </w:tbl>
    <w:p>
      <w:pPr>
        <w:spacing w:after="120" w:before="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the memo claims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Gale-Shapley / Roth-Shapley stable-matching framework that runs the NRMP, kidney exchange, and school choice will produce stable, better outcomes when applied to early-career hiring.</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Supporting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The mathematics is correct, published, and well-deployed in the analogous markets cited. Academic credibility via the Tilburg advisor is real.</w:t>
            </w:r>
          </w:p>
          <w:p>
            <w:pPr>
              <w:pStyle w:val="ListParagraph"/>
              <w:numPr>
                <w:ilvl w:val="0"/>
                <w:numId w:val="2"/>
              </w:numPr>
              <w:spacing w:after="80"/>
            </w:pPr>
            <w:r>
              <w:t xml:space="preserve">There is genuine theoretical work on dynamic and incomplete-information matching applicable to labor (recent arXiv papers on incomplete-information matching, deep learning for two-sided matching). The intellectual foundation is sound.</w:t>
            </w:r>
          </w:p>
          <w:p>
            <w:pPr>
              <w:pStyle w:val="ListParagraph"/>
              <w:numPr>
                <w:ilvl w:val="0"/>
                <w:numId w:val="2"/>
              </w:numPr>
              <w:spacing w:after="80"/>
            </w:pPr>
            <w:r>
              <w:t xml:space="preserve">Two-sided platforms with mutual preferences have, where designed well, produced demonstrably better allocations than visibility-driven boards.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Contradicting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The structural conditions that make NRMP work are absent from early-career hiring: (a) NRMP is a single annual clearing event, hiring is continuous; (b) participation in NRMP is essentially mandatory, hiring is opt-in across many channels; (c) NRMP preferences are highly observable (specialty, geography, program rank), early-career preferences are noisy and brand-dominated; (d) the cost of the bad alternative in NRMP was chaos, the cost in hiring is a slower funnel.</w:t>
            </w:r>
          </w:p>
          <w:p>
            <w:pPr>
              <w:pStyle w:val="ListParagraph"/>
              <w:numPr>
                <w:ilvl w:val="0"/>
                <w:numId w:val="2"/>
              </w:numPr>
              <w:spacing w:after="80"/>
            </w:pPr>
            <w:r>
              <w:t xml:space="preserve">Recent academic work (Ashlagi &amp; Gonczarowski, arXiv 1511.00452) shows stable matching mechanisms are not obviously strategy-proof in the cognitive sense participants experience — in adversarial markets, participants learn to manipulate stated preferences, undermining stability.</w:t>
            </w:r>
          </w:p>
          <w:p>
            <w:pPr>
              <w:pStyle w:val="ListParagraph"/>
              <w:numPr>
                <w:ilvl w:val="0"/>
                <w:numId w:val="2"/>
              </w:numPr>
              <w:spacing w:after="80"/>
            </w:pPr>
            <w:r>
              <w:t xml:space="preserve">Alvin Roth himself has been cautious about generalising market-design solutions to settings without the structural conditions that made residency and kidney exchange tractable. The memo treats the transfer as automatic; the literature treats it as case-by-case.</w:t>
            </w:r>
          </w:p>
          <w:p>
            <w:pPr>
              <w:pStyle w:val="ListParagraph"/>
              <w:numPr>
                <w:ilvl w:val="0"/>
                <w:numId w:val="2"/>
              </w:numPr>
              <w:spacing w:after="80"/>
            </w:pPr>
            <w:r>
              <w:t xml:space="preserve">Wharton/MD4SG empirical work on online labour platforms (Barach et al., Upwork data) shows firms rely on platform-AI recommendations only partially — they re-screen with their own criteria. A 'better match' the algorithm produces does not necessarily produce a better hire if the buyer overrides it.</w:t>
            </w:r>
          </w:p>
          <w:p>
            <w:pPr>
              <w:pStyle w:val="ListParagraph"/>
              <w:numPr>
                <w:ilvl w:val="0"/>
                <w:numId w:val="2"/>
              </w:numPr>
              <w:spacing w:after="80"/>
            </w:pPr>
            <w:r>
              <w:t xml:space="preserve">The memo's own Layer 2 introduces Claude Sonnet for soft-skill scoring above the deterministic layer. This is sensible engineering but means the system is not purely a mechanism-design system — it is a hybrid in which the LLM materially shapes the preferences fed into the matching algorithm. The Nobel-prize provenance is partial.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would need to be true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Observable, stable preferences exist on both sides — and the Layer-1 quantitative features + Layer-2 LLM rationale capture them well enough to produce matches the participants accept ex post.</w:t>
            </w:r>
          </w:p>
          <w:p>
            <w:pPr>
              <w:pStyle w:val="ListParagraph"/>
              <w:numPr>
                <w:ilvl w:val="0"/>
                <w:numId w:val="2"/>
              </w:numPr>
              <w:spacing w:after="80"/>
            </w:pPr>
            <w:r>
              <w:t xml:space="preserve">A counterfactual study can show, on real Tilburg placements, that the algorithm would have ranked the actually-placed candidate in the top 5 a defensible fraction of the time. Without this, '5 applications to 1 interview' is rhetoric, not evidence.</w:t>
            </w:r>
          </w:p>
          <w:p>
            <w:pPr>
              <w:pStyle w:val="ListParagraph"/>
              <w:numPr>
                <w:ilvl w:val="0"/>
                <w:numId w:val="2"/>
              </w:numPr>
              <w:spacing w:after="80"/>
            </w:pPr>
            <w:r>
              <w:t xml:space="preserve">Students and employers do not treat the algorithm adversarially. The very existence of CV optimization tools suggests they will.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Verdict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The math is real. The analogy is decorative. The memo leans heavily on the Nobel/NRMP framing as marketing, which is effective for investor narrative but invites a sharp question: 'Show me one labor-market deployment of Roth-Shapley at scale that has worked.' There is not yet one. Rookies could be the first — but 'this has never been done in this domain' is a different pitch than 'this is empirical history.'</w:t>
            </w:r>
          </w:p>
        </w:tc>
      </w:tr>
    </w:tbl>
    <w:p>
      <w:pPr>
        <w:spacing w:after="120" w:before="0" w:line="300"/>
      </w:pPr>
      <w:r>
        <w:t xml:space="preserve"> </w:t>
      </w:r>
    </w:p>
    <w:p>
      <w:pPr>
        <w:pStyle w:val="Heading2"/>
        <w:spacing w:after="100" w:before="260"/>
      </w:pPr>
      <w:r>
        <w:t xml:space="preserve">A5. TAM and revenue path are realistic</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BFBFBF" w:sz="4"/>
              <w:left w:val="single" w:color="BFBFBF" w:sz="4"/>
              <w:bottom w:val="single" w:color="BFBFBF" w:sz="4"/>
              <w:right w:val="single" w:color="BFBFBF" w:sz="4"/>
            </w:tcBorders>
            <w:shd w:fill="F4B084" w:val="clear"/>
            <w:tcMar>
              <w:top w:type="dxa" w:w="60"/>
              <w:left w:type="dxa" w:w="140"/>
              <w:bottom w:type="dxa" w:w="60"/>
              <w:right w:type="dxa" w:w="140"/>
            </w:tcMar>
          </w:tcPr>
          <w:p>
            <w:pPr>
              <w:jc w:val="center"/>
            </w:pPr>
            <w:r>
              <w:rPr>
                <w:b/>
                <w:bCs/>
                <w:sz w:val="22"/>
                <w:szCs w:val="22"/>
              </w:rPr>
              <w:t xml:space="preserve">Weak Evidence</w:t>
            </w:r>
          </w:p>
        </w:tc>
      </w:tr>
    </w:tbl>
    <w:p>
      <w:pPr>
        <w:spacing w:after="120" w:before="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the memo claims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€100M NL TAM, €2-3B EU TAM; ARR €60K (2026) → €1.65M (2028) → €13M+ (2030).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Supporting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Bottom-up the universe is large: ~800K students, ~424K SMEs, 50 institutions. The market is not too small to matter.</w:t>
            </w:r>
          </w:p>
          <w:p>
            <w:pPr>
              <w:pStyle w:val="ListParagraph"/>
              <w:numPr>
                <w:ilvl w:val="0"/>
                <w:numId w:val="2"/>
              </w:numPr>
              <w:spacing w:after="80"/>
            </w:pPr>
            <w:r>
              <w:t xml:space="preserve">Adjacent market sizing supports a multi-billion EU early-career hiring TAM in aggregate (Handshake's $172M ARR mostly US-based; Mercor's $10B valuation on $200M+ ARR signal a real category).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Contradicting signal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€100M NL TAM is not derivable from the components shown. At €5-15K × 50 institutions = €0.25-0.75M from universities. Reaching €100M requires ~50K employer accounts at ~€2K ARR each, which is ~12% of all NL SMEs paying for an early-career-specific tool. There is no precedent for that penetration in any HR-tech category.</w:t>
            </w:r>
          </w:p>
          <w:p>
            <w:pPr>
              <w:pStyle w:val="ListParagraph"/>
              <w:numPr>
                <w:ilvl w:val="0"/>
                <w:numId w:val="2"/>
              </w:numPr>
              <w:spacing w:after="80"/>
            </w:pPr>
            <w:r>
              <w:t xml:space="preserve">The €13M ARR 2030 figure implies ~6,500 paying employers at €2K average — roughly 1.5% of NL SMEs in 4 years on the back of a Dutch-only product. Possible only if (a) Belgium/Germany rollout starts on schedule and (b) average ACV creeps up via enterprise tier. Both are second-order assumptions stacked on top of A2 and A3.</w:t>
            </w:r>
          </w:p>
          <w:p>
            <w:pPr>
              <w:pStyle w:val="ListParagraph"/>
              <w:numPr>
                <w:ilvl w:val="0"/>
                <w:numId w:val="2"/>
              </w:numPr>
              <w:spacing w:after="80"/>
            </w:pPr>
            <w:r>
              <w:t xml:space="preserve">Comparable benchmarks: Magnet.me, 14 years in market, has not publicly reported revenue but operates with a much smaller team and capital base — a signal that Dutch-only early-career platform economics are thin. JobTeaser raised €50M in 2019 and has not raised since — also a signal that the category is not winner-take-all profitable.</w:t>
            </w:r>
          </w:p>
          <w:p>
            <w:pPr>
              <w:pStyle w:val="ListParagraph"/>
              <w:numPr>
                <w:ilvl w:val="0"/>
                <w:numId w:val="2"/>
              </w:numPr>
              <w:spacing w:after="80"/>
            </w:pPr>
            <w:r>
              <w:t xml:space="preserve">The €2-3B EU TAM is reasonable as a category gross number, but Rookies' addressable share within it is bounded by language, regulation, and incumbent presence. Handshake will own Anglophone Europe; JobTeaser owns Francophone. Rookies' realistic SAM is Benelux + DE + Nordics, not all of EU.</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What would need to be true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80"/>
            </w:pPr>
            <w:r>
              <w:t xml:space="preserve">Phase-2 (top 14 NL research universities) actually executes on the implied timeline. If it slips by a year — common in institutional SaaS — the 2028 €1.65M number drops to €0.5-0.8M and the round-after-this gets harder.</w:t>
            </w:r>
          </w:p>
          <w:p>
            <w:pPr>
              <w:pStyle w:val="ListParagraph"/>
              <w:numPr>
                <w:ilvl w:val="0"/>
                <w:numId w:val="2"/>
              </w:numPr>
              <w:spacing w:after="80"/>
            </w:pPr>
            <w:r>
              <w:t xml:space="preserve">ACV expansion is real: the average paying employer pays substantially more than the entry tier. Without enterprise upsell, freemium economics produce flat ARR.</w:t>
            </w:r>
          </w:p>
          <w:p>
            <w:pPr>
              <w:pStyle w:val="ListParagraph"/>
              <w:numPr>
                <w:ilvl w:val="0"/>
                <w:numId w:val="2"/>
              </w:numPr>
              <w:spacing w:after="80"/>
            </w:pPr>
            <w:r>
              <w:t xml:space="preserve">No major incumbent move (Handshake NL launch, JobTeaser NL expansion via Graduateland) compresses pricing before Rookies has scale.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Verdict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TAM math is loosely constructed; the revenue path is aspirational rather than triangulated. This is forgivable at pre-seed — every deck does it — but the founder should know which numbers will be pressed by Series A diligence and have a quieter, lower set of working numbers internally.</w:t>
            </w:r>
          </w:p>
        </w:tc>
      </w:tr>
    </w:tbl>
    <w:p>
      <w:r>
        <w:br w:type="page"/>
      </w:r>
    </w:p>
    <w:p>
      <w:pPr>
        <w:pStyle w:val="Heading1"/>
        <w:spacing w:after="160" w:before="360"/>
      </w:pPr>
      <w:r>
        <w:t xml:space="preserve">2. Blind spot detection</w:t>
      </w:r>
    </w:p>
    <w:p>
      <w:pPr>
        <w:spacing w:after="120" w:before="0" w:line="300"/>
      </w:pPr>
      <w:r>
        <w:t xml:space="preserve">Items the memo either does not address or addresses in a way that understates the risk. Listed roughly in order of how likely a skeptical investor or competitor is to bring them up.</w:t>
      </w:r>
    </w:p>
    <w:p>
      <w:pPr>
        <w:pStyle w:val="Heading3"/>
        <w:spacing w:after="80" w:before="200"/>
      </w:pPr>
      <w:r>
        <w:t xml:space="preserve">2.1 The Handshake omission</w:t>
      </w:r>
    </w:p>
    <w:p>
      <w:pPr>
        <w:spacing w:after="120" w:before="0" w:line="300"/>
      </w:pPr>
      <w:r>
        <w:t xml:space="preserve">The competition section names JobTeaser, Magnet.me, LinkedIn, and Indeed, and concludes that LinkedIn and Indeed 'will not enter this segment seriously.' This is true of LinkedIn and Indeed. It is silent on Handshake, which is the strategic threat actually facing Rookies. Handshake closed 2024 at $172M ARR with a $3.5B valuation, has 100+ employees in Europe, operates in the UK, France, Germany, Austria, and Portugal, and acquired Talentspace (DE) in 2022 specifically to consolidate European career-services tooling. Handshake's product is exactly the category Rookies is building, with two decades of US deployment behind it. The omission of Handshake from a competitive landscape document is not a small editing miss — it is a credibility-damaging absence that any investor with US HR-tech exposure will flag immediately.</w:t>
      </w:r>
    </w:p>
    <w:p>
      <w:pPr>
        <w:pStyle w:val="Heading3"/>
        <w:spacing w:after="80" w:before="200"/>
      </w:pPr>
      <w:r>
        <w:t xml:space="preserve">2.2 The '3 in 4 students leave the Netherlands' error</w:t>
      </w:r>
    </w:p>
    <w:p>
      <w:pPr>
        <w:spacing w:after="120" w:before="0" w:line="300"/>
      </w:pPr>
      <w:r>
        <w:t xml:space="preserve">The Evidence section table contains the line 'Three in four students leave the Netherlands after graduation.' This is not correct. Nuffic's published 2024 research shows that approximately 25% of international graduates remain in the Netherlands 5 years after graduation; the inverse — 75% leave — applies to the international cohort, not to all Dutch graduates. Domestic Dutch graduates overwhelmingly stay. Stating the international 75% as if it applied to the full graduate population is a factual error that materially overstates the addressable problem. This will be caught in due diligence and damages credibility on the rest of the data table.</w:t>
      </w:r>
    </w:p>
    <w:p>
      <w:pPr>
        <w:pStyle w:val="Heading3"/>
        <w:spacing w:after="80" w:before="200"/>
      </w:pPr>
      <w:r>
        <w:t xml:space="preserve">2.3 The AI-vs-AI critique applies to Rookies</w:t>
      </w:r>
    </w:p>
    <w:p>
      <w:pPr>
        <w:spacing w:after="120" w:before="0" w:line="300"/>
      </w:pPr>
      <w:r>
        <w:t xml:space="preserve">The memo's strongest rhetorical move is the 'two AIs negotiating a job, neither has met the person' critique. But the Rookies architecture asks students to submit CVs, projects, and self-descriptions which are then read by Claude Sonnet 4.6 to produce soft-skill scores. Students who use ChatGPT to optimize what they feed into Rookies will be advantaged over students who do not — the same arms race the memo identifies, simply moved into the Rookies platform. The verification regime (DUO integration, employer reference networks, LLM consistency checks) is the proposed mitigation, but it is buried under 'Architecture' in the ask and not actually shipped. A skeptical reader will ask whether the AI-vs-AI critique survives Rookies' own implementation. The answer requires the verification layer to actually exist and work.</w:t>
      </w:r>
    </w:p>
    <w:p>
      <w:pPr>
        <w:pStyle w:val="Heading3"/>
        <w:spacing w:after="80" w:before="200"/>
      </w:pPr>
      <w:r>
        <w:t xml:space="preserve">2.4 EU AI Act as cost, not just moat</w:t>
      </w:r>
    </w:p>
    <w:p>
      <w:pPr>
        <w:spacing w:after="120" w:before="0" w:line="300"/>
      </w:pPr>
      <w:r>
        <w:t xml:space="preserve">The memo positions Article 13 explainability requirements as a competitive moat. The Act's high-risk provisions for recruitment systems become fully enforceable on 2 August 2026 — within the runway window of this round. As a provider of a high-risk AI system, Rookies will need: a documented risk-management system (Art. 9), training-data governance (Art. 10), technical documentation (Art. 11), record-keeping (Art. 12), transparency (Art. 13), human oversight (Art. 14), accuracy/robustness/cybersecurity (Art. 15), a conformity assessment, post-market monitoring, and a fundamental-rights impact assessment for deployers. Fines are up to €15M or 3% of global turnover. For a 3-person founding team, the compliance lift is substantial and competes for engineering hours with the matching engine itself. This is not addressed in the team or use-of-funds sections.</w:t>
      </w:r>
    </w:p>
    <w:p>
      <w:pPr>
        <w:pStyle w:val="Heading3"/>
        <w:spacing w:after="80" w:before="200"/>
      </w:pPr>
      <w:r>
        <w:t xml:space="preserve">2.5 The Dutch entry-level demand contraction</w:t>
      </w:r>
    </w:p>
    <w:p>
      <w:pPr>
        <w:spacing w:after="120" w:before="0" w:line="300"/>
      </w:pPr>
      <w:r>
        <w:t xml:space="preserve">The memo treats demand as fixed (~184K graduates / year) and frames the problem as allocation. But Dutch entry-level developer roles fell roughly 40% recently (Talentup, 2025) and AI-driven contraction of junior roles is the dominant secular trend in HR-tech analyst commentary. If a meaningful share of the addressable demand evaporates over the 2026-2030 horizon, Rookies' matching architecture is matching candidates to a shrinking pool, and the win is structurally smaller than the TAM analysis suggests. The memo does not address this; an investor will.</w:t>
      </w:r>
    </w:p>
    <w:p>
      <w:pPr>
        <w:pStyle w:val="Heading3"/>
        <w:spacing w:after="80" w:before="200"/>
      </w:pPr>
      <w:r>
        <w:t xml:space="preserve">2.6 Two-sided cold-start risk in a network-effects market</w:t>
      </w:r>
    </w:p>
    <w:p>
      <w:pPr>
        <w:spacing w:after="120" w:before="0" w:line="300"/>
      </w:pPr>
      <w:r>
        <w:t xml:space="preserve">Universities want employers on the platform; employers want students; students want both. JobTeaser has 2M+ users; Magnet.me has 450K. Rookies starts at zero. The 'universities first' strategy mitigates this on the student side (a signed university delivers an entire cohort) but does nothing for the employer side until enough students are aggregated to justify employer attention. The memo identifies 10,000 employer accounts as a milestone but does not address how the first 1,000 are acquired before the first signed cohort gives them a reason to be there. In two-sided markets this gap is usually closed by paid acquisition or founder-led concierge sales — neither is in the budget.</w:t>
      </w:r>
    </w:p>
    <w:p>
      <w:pPr>
        <w:pStyle w:val="Heading3"/>
        <w:spacing w:after="80" w:before="200"/>
      </w:pPr>
      <w:r>
        <w:t xml:space="preserve">2.7 Channel conflict with universities</w:t>
      </w:r>
    </w:p>
    <w:p>
      <w:pPr>
        <w:spacing w:after="120" w:before="0" w:line="300"/>
      </w:pPr>
      <w:r>
        <w:t xml:space="preserve">Universities that adopt Rookies will still have JobTeaser, in-house portals, and possibly Symplicity contracts running. Replacing those is not a vendor switch — it is a procurement-political project per institution. Each career office director has a vendor relationship, a contract end date, and a personal track record tied to the choice. Rookies' value proposition has to clear the political cost of changing, not just the technical bar. The memo's Phase 2 plan ('14 research universities by 2027') assumes this clears at 14× the speed it cleared at Tilburg, where the founder had a personal relationship. This is not realistic without dedicated enterprise sales hires that the use-of-funds does not include.</w:t>
      </w:r>
    </w:p>
    <w:p>
      <w:pPr>
        <w:pStyle w:val="Heading3"/>
        <w:spacing w:after="80" w:before="200"/>
      </w:pPr>
      <w:r>
        <w:t xml:space="preserve">2.8 Founder concentration and team risk</w:t>
      </w:r>
    </w:p>
    <w:p>
      <w:pPr>
        <w:spacing w:after="120" w:before="0" w:line="300"/>
      </w:pPr>
      <w:r>
        <w:t xml:space="preserve">Two brothers plus an academic advisor at one university. The technical and product surface area is wide (matching engine, LLM layer, EU AI Act compliance, four product lines, three sales motions, three-sided GTM). The memo does not list any other engineering, sales, or compliance hires planned with the round. Either the use of funds dramatically understates the hires needed, or the team will be a bottleneck. Investors will ask which.</w:t>
      </w:r>
    </w:p>
    <w:p>
      <w:pPr>
        <w:pStyle w:val="Heading3"/>
        <w:spacing w:after="80" w:before="200"/>
      </w:pPr>
      <w:r>
        <w:t xml:space="preserve">2.9 The verification challenge is harder than 'integration with DUO'</w:t>
      </w:r>
    </w:p>
    <w:p>
      <w:pPr>
        <w:spacing w:after="120" w:before="0" w:line="300"/>
      </w:pPr>
      <w:r>
        <w:t xml:space="preserve">Pulling student data from DUO requires legal basis under Dutch privacy law, institutional consent flows, GDPR data-minimisation justification, and contractual relationships with the universities that own the consent chain. The memo names DUO integration as if it were a build item; in practice it is a 6-12 month legal/procurement project that gates the entire trust story. If verification slips, Rookies is just another platform reading student-submitted CVs — i.e. the architecture it criticises.</w:t>
      </w:r>
    </w:p>
    <w:p>
      <w:pPr>
        <w:pStyle w:val="Heading3"/>
        <w:spacing w:after="80" w:before="200"/>
      </w:pPr>
      <w:r>
        <w:t xml:space="preserve">2.10 Student-side willingness-to-pay is structurally weak</w:t>
      </w:r>
    </w:p>
    <w:p>
      <w:pPr>
        <w:spacing w:after="120" w:before="0" w:line="300"/>
      </w:pPr>
      <w:r>
        <w:t xml:space="preserve">Talent Services (10.3) is described as 'intentionally lean.' Translated: students will not pay, and the team knows it. That leaves the entire revenue model on the employer + university sides. The community moat is a defensibility claim, not a revenue line. The model therefore depends on solving the harder of the two-sided problems (institutional buyers + low-WTP SMEs) before any revenue diversification is possible. This is a real risk to highlight to the board.</w:t>
      </w:r>
    </w:p>
    <w:p>
      <w:r>
        <w:br w:type="page"/>
      </w:r>
    </w:p>
    <w:p>
      <w:pPr>
        <w:pStyle w:val="Heading1"/>
        <w:spacing w:after="160" w:before="360"/>
      </w:pPr>
      <w:r>
        <w:t xml:space="preserve">3. Market reality assessment</w:t>
      </w:r>
    </w:p>
    <w:p>
      <w:pPr>
        <w:pStyle w:val="Heading2"/>
        <w:spacing w:after="100" w:before="260"/>
      </w:pPr>
      <w:r>
        <w:t xml:space="preserve">3.1 Realistic Serviceable Addressable Market (SAM)</w:t>
      </w:r>
    </w:p>
    <w:p>
      <w:pPr>
        <w:spacing w:after="120" w:before="0" w:line="300"/>
      </w:pPr>
      <w:r>
        <w:t xml:space="preserve">The €100M NL TAM number is loose. A more honest bottom-up:</w:t>
      </w:r>
    </w:p>
    <w:p>
      <w:pPr>
        <w:pStyle w:val="ListParagraph"/>
        <w:numPr>
          <w:ilvl w:val="0"/>
          <w:numId w:val="2"/>
        </w:numPr>
        <w:spacing w:after="80"/>
      </w:pPr>
      <w:r>
        <w:rPr>
          <w:b/>
          <w:bCs/>
        </w:rPr>
        <w:t xml:space="preserve">University licenses: </w:t>
      </w:r>
      <w:r>
        <w:t xml:space="preserve">50 institutions × €10K average = €0.5M ARR ceiling.</w:t>
      </w:r>
    </w:p>
    <w:p>
      <w:pPr>
        <w:pStyle w:val="ListParagraph"/>
        <w:numPr>
          <w:ilvl w:val="0"/>
          <w:numId w:val="2"/>
        </w:numPr>
        <w:spacing w:after="80"/>
      </w:pPr>
      <w:r>
        <w:rPr>
          <w:b/>
          <w:bCs/>
        </w:rPr>
        <w:t xml:space="preserve">Paying employers: </w:t>
      </w:r>
      <w:r>
        <w:t xml:space="preserve">Assume 8-10% of NL SMEs ever try a specialised early-career platform (very generous), and 1-2% convert. That is ~4,000-8,000 paying accounts in steady state at, optimistically, €1,500 ARR average → €6-12M ARR ceiling.</w:t>
      </w:r>
    </w:p>
    <w:p>
      <w:pPr>
        <w:pStyle w:val="ListParagraph"/>
        <w:numPr>
          <w:ilvl w:val="0"/>
          <w:numId w:val="2"/>
        </w:numPr>
        <w:spacing w:after="80"/>
      </w:pPr>
      <w:r>
        <w:rPr>
          <w:b/>
          <w:bCs/>
        </w:rPr>
        <w:t xml:space="preserve">Talent services: </w:t>
      </w:r>
      <w:r>
        <w:t xml:space="preserve">Lean; sub-€1M.</w:t>
      </w:r>
    </w:p>
    <w:p>
      <w:pPr>
        <w:pStyle w:val="ListParagraph"/>
        <w:numPr>
          <w:ilvl w:val="0"/>
          <w:numId w:val="2"/>
        </w:numPr>
        <w:spacing w:after="80"/>
      </w:pPr>
      <w:r>
        <w:rPr>
          <w:b/>
          <w:bCs/>
        </w:rPr>
        <w:t xml:space="preserve">Realistic NL SAM at maturity: </w:t>
      </w:r>
      <w:r>
        <w:t xml:space="preserve">~€10-15M ARR, not €100M. The €100M is a category-gross TAM stretching from job boards to applicant tracking to assessment tools — not the slice Rookies actually serves.</w:t>
      </w:r>
    </w:p>
    <w:p>
      <w:pPr>
        <w:spacing w:after="120" w:before="0" w:line="300"/>
      </w:pPr>
      <w:r>
        <w:t xml:space="preserve">The €2-3B EU TAM is defensible as a category-gross number across recruitment + assessment + university SaaS. Rookies' EU SAM, constrained by language, regulation, and incumbent presence, is plausibly Benelux + DACH + Nordics: a €200-400M SAM, not €2-3B.</w:t>
      </w:r>
    </w:p>
    <w:p>
      <w:pPr>
        <w:pStyle w:val="Heading2"/>
        <w:spacing w:after="100" w:before="260"/>
      </w:pPr>
      <w:r>
        <w:t xml:space="preserve">3.2 Competitive intensity</w:t>
      </w:r>
    </w:p>
    <w:p>
      <w:pPr>
        <w:spacing w:after="120" w:before="0" w:line="300"/>
      </w:pPr>
      <w:r>
        <w:t xml:space="preserve">High and rising. The two-year picture:</w:t>
      </w:r>
    </w:p>
    <w:p>
      <w:pPr>
        <w:pStyle w:val="ListParagraph"/>
        <w:numPr>
          <w:ilvl w:val="0"/>
          <w:numId w:val="2"/>
        </w:numPr>
        <w:spacing w:after="80"/>
      </w:pPr>
      <w:r>
        <w:rPr>
          <w:b/>
          <w:bCs/>
        </w:rPr>
        <w:t xml:space="preserve">JobTeaser + Graduateland (2024 merger): </w:t>
      </w:r>
      <w:r>
        <w:t xml:space="preserve">incumbent. 800+ universities, 2M+ talents. Dated tech, but switching cost is real and the consolidation is fresh.</w:t>
      </w:r>
    </w:p>
    <w:p>
      <w:pPr>
        <w:pStyle w:val="ListParagraph"/>
        <w:numPr>
          <w:ilvl w:val="0"/>
          <w:numId w:val="2"/>
        </w:numPr>
        <w:spacing w:after="80"/>
      </w:pPr>
      <w:r>
        <w:rPr>
          <w:b/>
          <w:bCs/>
        </w:rPr>
        <w:t xml:space="preserve">Handshake EU: </w:t>
      </w:r>
      <w:r>
        <w:t xml:space="preserve">$3.5B valuation, 100+ EU employees, UK/FR/DE/AT/PT operational, $172M global ARR. Highest-probability category killer if they enter NL.</w:t>
      </w:r>
    </w:p>
    <w:p>
      <w:pPr>
        <w:pStyle w:val="ListParagraph"/>
        <w:numPr>
          <w:ilvl w:val="0"/>
          <w:numId w:val="2"/>
        </w:numPr>
        <w:spacing w:after="80"/>
      </w:pPr>
      <w:r>
        <w:rPr>
          <w:b/>
          <w:bCs/>
        </w:rPr>
        <w:t xml:space="preserve">Magnet.me: </w:t>
      </w:r>
      <w:r>
        <w:t xml:space="preserve">450K users, 6K employers, Rabobank investment Mar 2024. The memo's characterization as 'capital-constrained since 2017' is outdated.</w:t>
      </w:r>
    </w:p>
    <w:p>
      <w:pPr>
        <w:pStyle w:val="ListParagraph"/>
        <w:numPr>
          <w:ilvl w:val="0"/>
          <w:numId w:val="2"/>
        </w:numPr>
        <w:spacing w:after="80"/>
      </w:pPr>
      <w:r>
        <w:rPr>
          <w:b/>
          <w:bCs/>
        </w:rPr>
        <w:t xml:space="preserve">Mercor / Eightfold / Paradox: </w:t>
      </w:r>
      <w:r>
        <w:t xml:space="preserve">Globally-funded AI-native recruiting. Mercor at $10B valuation, $350M Series C in Oct 2025. Not directly competing in NL early-career today but reshaping employer expectations of AI shortlisting.</w:t>
      </w:r>
    </w:p>
    <w:p>
      <w:pPr>
        <w:pStyle w:val="ListParagraph"/>
        <w:numPr>
          <w:ilvl w:val="0"/>
          <w:numId w:val="2"/>
        </w:numPr>
        <w:spacing w:after="80"/>
      </w:pPr>
      <w:r>
        <w:rPr>
          <w:b/>
          <w:bCs/>
        </w:rPr>
        <w:t xml:space="preserve">YoungCapital: </w:t>
      </w:r>
      <w:r>
        <w:t xml:space="preserve">€559M revenue. Not a platform play but a structural competitor for SME recruitment spend.</w:t>
      </w:r>
    </w:p>
    <w:p>
      <w:pPr>
        <w:pStyle w:val="ListParagraph"/>
        <w:numPr>
          <w:ilvl w:val="0"/>
          <w:numId w:val="2"/>
        </w:numPr>
        <w:spacing w:after="80"/>
      </w:pPr>
      <w:r>
        <w:rPr>
          <w:b/>
          <w:bCs/>
        </w:rPr>
        <w:t xml:space="preserve">Joboti → Textkernel: </w:t>
      </w:r>
      <w:r>
        <w:t xml:space="preserve">Recent acquisition signals NL HR-tech consolidation. Independent platform plays are being rolled up.</w:t>
      </w:r>
    </w:p>
    <w:p>
      <w:pPr>
        <w:pStyle w:val="Heading2"/>
        <w:spacing w:after="100" w:before="260"/>
      </w:pPr>
      <w:r>
        <w:t xml:space="preserve">3.3 Buyer behaviour shifts (last 12-18 months)</w:t>
      </w:r>
    </w:p>
    <w:p>
      <w:pPr>
        <w:pStyle w:val="ListParagraph"/>
        <w:numPr>
          <w:ilvl w:val="0"/>
          <w:numId w:val="2"/>
        </w:numPr>
        <w:spacing w:after="80"/>
      </w:pPr>
      <w:r>
        <w:t xml:space="preserve">AI-screening adoption has accelerated faster than the memo's '80% by 2026' number — by Q1 2026 the figure is more like 85-90% at large EU employers (Crowell &amp; Moring, Carv 2026 compliance commentary).</w:t>
      </w:r>
    </w:p>
    <w:p>
      <w:pPr>
        <w:pStyle w:val="ListParagraph"/>
        <w:numPr>
          <w:ilvl w:val="0"/>
          <w:numId w:val="2"/>
        </w:numPr>
        <w:spacing w:after="80"/>
      </w:pPr>
      <w:r>
        <w:t xml:space="preserve">Universities are under increasing pressure from ministries and boards to demonstrate cohort outcomes (NL accreditation regime tightening). This is a tailwind for the analytics product line specifically.</w:t>
      </w:r>
    </w:p>
    <w:p>
      <w:pPr>
        <w:pStyle w:val="ListParagraph"/>
        <w:numPr>
          <w:ilvl w:val="0"/>
          <w:numId w:val="2"/>
        </w:numPr>
        <w:spacing w:after="80"/>
      </w:pPr>
      <w:r>
        <w:t xml:space="preserve">Entry-level positions contracting, particularly in tech (~40% in NL developer roles per Talentup). This reshapes the addressable opportunity downward in some verticals while expanding it in care, retail, and skilled-trade SME hiring.</w:t>
      </w:r>
    </w:p>
    <w:p>
      <w:pPr>
        <w:pStyle w:val="ListParagraph"/>
        <w:numPr>
          <w:ilvl w:val="0"/>
          <w:numId w:val="2"/>
        </w:numPr>
        <w:spacing w:after="80"/>
      </w:pPr>
      <w:r>
        <w:t xml:space="preserve">SME employer brand spend on early-career has not increased — recession-pressured budgets are concentrating on senior/mid hires where the per-hire spend is justified. SME WTP for graduate-specific tools may be flat or declining.</w:t>
      </w:r>
    </w:p>
    <w:p>
      <w:pPr>
        <w:pStyle w:val="Heading2"/>
        <w:spacing w:after="100" w:before="260"/>
      </w:pPr>
      <w:r>
        <w:t xml:space="preserve">3.4 Regulatory and macro</w:t>
      </w:r>
    </w:p>
    <w:p>
      <w:pPr>
        <w:pStyle w:val="ListParagraph"/>
        <w:numPr>
          <w:ilvl w:val="0"/>
          <w:numId w:val="2"/>
        </w:numPr>
        <w:spacing w:after="80"/>
      </w:pPr>
      <w:r>
        <w:t xml:space="preserve">EU AI Act high-risk provisions fully enforceable 2 August 2026. Fines up to €15M or 3% global turnover. Genuine tailwind for explainability-native architecture; substantial cost for the compliance lift itself. Finland became the first member state to confer enforcement powers (Jan 2026); others are following on a 2026-2027 timeline.</w:t>
      </w:r>
    </w:p>
    <w:p>
      <w:pPr>
        <w:pStyle w:val="ListParagraph"/>
        <w:numPr>
          <w:ilvl w:val="0"/>
          <w:numId w:val="2"/>
        </w:numPr>
        <w:spacing w:after="80"/>
      </w:pPr>
      <w:r>
        <w:t xml:space="preserve">GDPR + AI Act stacking: any DUO integration involves both regimes. Data Protection Impact Assessment plus Fundamental Rights Impact Assessment, plus the conformity assessment under the AI Act. Multi-quarter legal work.</w:t>
      </w:r>
    </w:p>
    <w:p>
      <w:pPr>
        <w:pStyle w:val="ListParagraph"/>
        <w:numPr>
          <w:ilvl w:val="0"/>
          <w:numId w:val="2"/>
        </w:numPr>
        <w:spacing w:after="80"/>
      </w:pPr>
      <w:r>
        <w:t xml:space="preserve">Dutch coalition policy on international student inflow is restrictive (post-2024 internationalisation tightening). Total addressable graduate pool is plateauing, not growing. The 184K annual figure should be treated as a ceiling, not a baseline.</w:t>
      </w:r>
    </w:p>
    <w:p>
      <w:pPr>
        <w:pStyle w:val="ListParagraph"/>
        <w:numPr>
          <w:ilvl w:val="0"/>
          <w:numId w:val="2"/>
        </w:numPr>
        <w:spacing w:after="80"/>
      </w:pPr>
      <w:r>
        <w:t xml:space="preserve">Macro: Dutch services labour market remains tight despite cyclical softness. Employer side has urgency; student side has anxiety. Both are tailwinds for matching efficiency claims provided the platform delivers.</w:t>
      </w:r>
    </w:p>
    <w:p>
      <w:r>
        <w:br w:type="page"/>
      </w:r>
    </w:p>
    <w:p>
      <w:pPr>
        <w:pStyle w:val="Heading1"/>
        <w:spacing w:after="160" w:before="360"/>
      </w:pPr>
      <w:r>
        <w:t xml:space="preserve">4. Risk-adjusted outlook</w:t>
      </w:r>
    </w:p>
    <w:p>
      <w:pPr>
        <w:spacing w:after="120" w:before="0" w:line="300"/>
      </w:pPr>
      <w:r>
        <w:t xml:space="preserve">Probabilities are subjective and reflect this analyst's read of the assumption base, the competitive intensity, and the team's stated execution plan. They are calibrated to be challenged.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Scenario</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rPr>
              <w:t xml:space="preserve">Probability</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Drivers</w:t>
            </w:r>
          </w:p>
        </w:tc>
        <w:tc>
          <w:tcPr>
            <w:tcW w:type="dxa" w:w="2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Outcome by end of 2028</w:t>
            </w:r>
          </w:p>
        </w:tc>
      </w:tr>
      <w:tr>
        <w:tc>
          <w:tcPr>
            <w:tcW w:type="dxa" w:w="2200"/>
            <w:tcBorders>
              <w:top w:val="single" w:color="BFBFBF" w:sz="4"/>
              <w:left w:val="single" w:color="BFBFBF" w:sz="4"/>
              <w:bottom w:val="single" w:color="BFBFBF" w:sz="4"/>
              <w:right w:val="single" w:color="BFBFBF" w:sz="4"/>
            </w:tcBorders>
            <w:shd w:fill="C6E0B4" w:val="clear"/>
            <w:tcMar>
              <w:top w:type="dxa" w:w="100"/>
              <w:left w:type="dxa" w:w="140"/>
              <w:bottom w:type="dxa" w:w="100"/>
              <w:right w:type="dxa" w:w="140"/>
            </w:tcMar>
          </w:tcPr>
          <w:p>
            <w:r>
              <w:rPr>
                <w:b/>
                <w:bCs/>
              </w:rPr>
              <w:t xml:space="preserve">A: Assumptions hold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15-20%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Tilburg pilot delivers real cohort data; 3 anchor universities sign annual contracts; SME freemium converts at ~3-5%; Handshake does not enter NL; AI Act compliance ships on schedule; academic paper publishes.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ARR ~€1.5-2M. Series A ~€8-15M raised on cohort outcomes + matching-quality counterfactual evidence + signed institutional pipeline.</w:t>
            </w:r>
          </w:p>
        </w:tc>
      </w:tr>
      <w:tr>
        <w:tc>
          <w:tcPr>
            <w:tcW w:type="dxa" w:w="22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tcPr>
          <w:p>
            <w:r>
              <w:rPr>
                <w:b/>
                <w:bCs/>
              </w:rPr>
              <w:t xml:space="preserve">B: Most likely reality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50-55%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Tilburg pilot delivers strong qualitative signal but two universities slip to LOIs rather than signed contracts. Employer freemium activates ~3,000 accounts; conversion runs 1-2%. AI Act compliance lift consumes 25-30% of engineering. Handshake announces selective NL pilots.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ARR ~€300-700K. Bridge round needed; founders forced to narrow wedge (likely the career-services analytics product) or extend runway via revenue-based finance.</w:t>
            </w:r>
          </w:p>
        </w:tc>
      </w:tr>
      <w:tr>
        <w:tc>
          <w:tcPr>
            <w:tcW w:type="dxa" w:w="2200"/>
            <w:tcBorders>
              <w:top w:val="single" w:color="BFBFBF" w:sz="4"/>
              <w:left w:val="single" w:color="BFBFBF" w:sz="4"/>
              <w:bottom w:val="single" w:color="BFBFBF" w:sz="4"/>
              <w:right w:val="single" w:color="BFBFBF" w:sz="4"/>
            </w:tcBorders>
            <w:shd w:fill="F4B084" w:val="clear"/>
            <w:tcMar>
              <w:top w:type="dxa" w:w="100"/>
              <w:left w:type="dxa" w:w="140"/>
              <w:bottom w:type="dxa" w:w="100"/>
              <w:right w:type="dxa" w:w="140"/>
            </w:tcMar>
          </w:tcPr>
          <w:p>
            <w:r>
              <w:rPr>
                <w:b/>
                <w:bCs/>
              </w:rPr>
              <w:t xml:space="preserve">C: Downside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25-30%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JobTeaser+Graduateland or Handshake announces Dutch market push during pilot window. University procurement stalls beyond Tilburg. Memo factual errors (e.g. '3 in 4 leave NL') surface in DD. EU AI Act compliance turns into a hard blocker rather than a feature.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ARR &lt;€150K. Team forced to acquihire (Textkernel, Magnet.me) or shut down. Academic paper publishes regardless, salvaging credentialed talent for next venture.</w:t>
            </w:r>
          </w:p>
        </w:tc>
      </w:tr>
    </w:tbl>
    <w:p>
      <w:pPr>
        <w:spacing w:after="120" w:before="0" w:line="300"/>
      </w:pPr>
      <w:r>
        <w:t xml:space="preserve"> </w:t>
      </w:r>
    </w:p>
    <w:p>
      <w:pPr>
        <w:spacing w:after="120" w:before="0" w:line="300"/>
      </w:pPr>
      <w:r>
        <w:t xml:space="preserve">Notably, even Scenario A does not validate the memo's €1.65M 2028 number unless the Belgium/Germany launch is also on track. The path to €13M+ ARR by 2030 requires Scenario A plus successful European replication, which is roughly 5-10% combined probability on this analyst's read. This is not a reason not to invest — pre-seed bets are taken at exactly these odds — but it is a reason for the founder to internalise that the planning numbers and the realistic numbers diverge.</w:t>
      </w:r>
    </w:p>
    <w:p>
      <w:r>
        <w:br w:type="page"/>
      </w:r>
    </w:p>
    <w:p>
      <w:pPr>
        <w:pStyle w:val="Heading1"/>
        <w:spacing w:after="160" w:before="360"/>
      </w:pPr>
      <w:r>
        <w:t xml:space="preserve">5. Recommended actions</w:t>
      </w:r>
    </w:p>
    <w:p>
      <w:pPr>
        <w:pStyle w:val="Heading2"/>
        <w:spacing w:after="100" w:before="260"/>
      </w:pPr>
      <w:r>
        <w:t xml:space="preserve">5.1 Top three assumptions to validate immediately</w:t>
      </w:r>
    </w:p>
    <w:p>
      <w:pPr>
        <w:pStyle w:val="ListParagraph"/>
        <w:numPr>
          <w:ilvl w:val="0"/>
          <w:numId w:val="3"/>
        </w:numPr>
        <w:spacing w:after="80"/>
      </w:pPr>
      <w:r>
        <w:rPr>
          <w:b/>
          <w:bCs/>
        </w:rPr>
        <w:t xml:space="preserve">University willingness-to-pay and procurement timing. </w:t>
      </w:r>
      <w:r>
        <w:t xml:space="preserve">Run 8-10 structured buyer-discovery interviews with NL career-office directors outside Tilburg. Test exact price points (€5K, €10K, €15K), current vendor satisfaction (especially JobTeaser users), required integrations, and political feasibility of switching. Cost: 4 weeks of founder time. This is the single highest-leverage validation, because A2 underwrites the GTM.</w:t>
      </w:r>
    </w:p>
    <w:p>
      <w:pPr>
        <w:pStyle w:val="ListParagraph"/>
        <w:numPr>
          <w:ilvl w:val="0"/>
          <w:numId w:val="3"/>
        </w:numPr>
        <w:spacing w:after="80"/>
      </w:pPr>
      <w:r>
        <w:rPr>
          <w:b/>
          <w:bCs/>
        </w:rPr>
        <w:t xml:space="preserve">Match-quality counterfactual. </w:t>
      </w:r>
      <w:r>
        <w:t xml:space="preserve">Take Tilburg's last 12 months of actual placements (say 200 students placed into 200 roles). Run the Rookies algorithm retrospectively and measure: in what percentage of cases did the algorithm rank the actually-placed candidate in its top 5 for that role? Below 60% and the '5 applications to 1 interview' claim collapses. Above 75% and you have a fundable evidence artefact. Cost: 6-8 weeks of engineering, depending on data access.</w:t>
      </w:r>
    </w:p>
    <w:p>
      <w:pPr>
        <w:pStyle w:val="ListParagraph"/>
        <w:numPr>
          <w:ilvl w:val="0"/>
          <w:numId w:val="3"/>
        </w:numPr>
        <w:spacing w:after="80"/>
      </w:pPr>
      <w:r>
        <w:rPr>
          <w:b/>
          <w:bCs/>
        </w:rPr>
        <w:t xml:space="preserve">SME conversion at scale. </w:t>
      </w:r>
      <w:r>
        <w:t xml:space="preserve">Stand up a paid acquisition test: drive 500 NL SME recruiters to the free tier via paid LinkedIn + niche channels, observe activation, then survey 50 of them at 30 days on willingness-to-pay for shortlisting at €99, €299, €499. Track which value drivers (shortlist quality, branding, analytics) move the needle. Cost: ~€5-10K ad spend + founder time. This validates A3 with real numbers, not assumed conversion.</w:t>
      </w:r>
    </w:p>
    <w:p>
      <w:pPr>
        <w:pStyle w:val="Heading2"/>
        <w:spacing w:after="100" w:before="260"/>
      </w:pPr>
      <w:r>
        <w:t xml:space="preserve">5.2 Monthly KPIs to track from launch</w:t>
      </w:r>
    </w:p>
    <w:p>
      <w:pPr>
        <w:pStyle w:val="ListParagraph"/>
        <w:numPr>
          <w:ilvl w:val="0"/>
          <w:numId w:val="2"/>
        </w:numPr>
        <w:spacing w:after="80"/>
      </w:pPr>
      <w:r>
        <w:rPr>
          <w:b/>
          <w:bCs/>
        </w:rPr>
        <w:t xml:space="preserve">Signed universities </w:t>
      </w:r>
      <w:r>
        <w:t xml:space="preserve">(target: 3 by Q4 2026, contracts not LOIs)</w:t>
      </w:r>
    </w:p>
    <w:p>
      <w:pPr>
        <w:pStyle w:val="ListParagraph"/>
        <w:numPr>
          <w:ilvl w:val="0"/>
          <w:numId w:val="2"/>
        </w:numPr>
        <w:spacing w:after="80"/>
      </w:pPr>
      <w:r>
        <w:rPr>
          <w:b/>
          <w:bCs/>
        </w:rPr>
        <w:t xml:space="preserve">Active employer accounts </w:t>
      </w:r>
      <w:r>
        <w:t xml:space="preserve">(target: 1,000 by Q4 2026; 'active' = posted ≥1 role in last 30 days)</w:t>
      </w:r>
    </w:p>
    <w:p>
      <w:pPr>
        <w:pStyle w:val="ListParagraph"/>
        <w:numPr>
          <w:ilvl w:val="0"/>
          <w:numId w:val="2"/>
        </w:numPr>
        <w:spacing w:after="80"/>
      </w:pPr>
      <w:r>
        <w:rPr>
          <w:b/>
          <w:bCs/>
        </w:rPr>
        <w:t xml:space="preserve">Free → paid conversion rate </w:t>
      </w:r>
      <w:r>
        <w:t xml:space="preserve">(measure monthly; flag if &lt;2% by month 6 post-launch)</w:t>
      </w:r>
    </w:p>
    <w:p>
      <w:pPr>
        <w:pStyle w:val="ListParagraph"/>
        <w:numPr>
          <w:ilvl w:val="0"/>
          <w:numId w:val="2"/>
        </w:numPr>
        <w:spacing w:after="80"/>
      </w:pPr>
      <w:r>
        <w:rPr>
          <w:b/>
          <w:bCs/>
        </w:rPr>
        <w:t xml:space="preserve">Match quality (top-5 retrospective rate) </w:t>
      </w:r>
      <w:r>
        <w:t xml:space="preserve">(measure quarterly on rolling cohort)</w:t>
      </w:r>
    </w:p>
    <w:p>
      <w:pPr>
        <w:pStyle w:val="ListParagraph"/>
        <w:numPr>
          <w:ilvl w:val="0"/>
          <w:numId w:val="2"/>
        </w:numPr>
        <w:spacing w:after="80"/>
      </w:pPr>
      <w:r>
        <w:rPr>
          <w:b/>
          <w:bCs/>
        </w:rPr>
        <w:t xml:space="preserve">Time-from-match-to-interview </w:t>
      </w:r>
      <w:r>
        <w:t xml:space="preserve">(the metric that operationalises the '5-to-1' claim)</w:t>
      </w:r>
    </w:p>
    <w:p>
      <w:pPr>
        <w:pStyle w:val="ListParagraph"/>
        <w:numPr>
          <w:ilvl w:val="0"/>
          <w:numId w:val="2"/>
        </w:numPr>
        <w:spacing w:after="80"/>
      </w:pPr>
      <w:r>
        <w:rPr>
          <w:b/>
          <w:bCs/>
        </w:rPr>
        <w:t xml:space="preserve">Career office NPS </w:t>
      </w:r>
      <w:r>
        <w:t xml:space="preserve">at pilot institutions (the deciders of phase-2 replication)</w:t>
      </w:r>
    </w:p>
    <w:p>
      <w:pPr>
        <w:pStyle w:val="ListParagraph"/>
        <w:numPr>
          <w:ilvl w:val="0"/>
          <w:numId w:val="2"/>
        </w:numPr>
        <w:spacing w:after="80"/>
      </w:pPr>
      <w:r>
        <w:rPr>
          <w:b/>
          <w:bCs/>
        </w:rPr>
        <w:t xml:space="preserve">AI Act compliance milestones </w:t>
      </w:r>
      <w:r>
        <w:t xml:space="preserve">(conformity assessment, technical documentation, DPIA, FRIA — track as binary against the 2 Aug 2026 deadline)</w:t>
      </w:r>
    </w:p>
    <w:p>
      <w:pPr>
        <w:pStyle w:val="ListParagraph"/>
        <w:numPr>
          <w:ilvl w:val="0"/>
          <w:numId w:val="2"/>
        </w:numPr>
        <w:spacing w:after="80"/>
      </w:pPr>
      <w:r>
        <w:rPr>
          <w:b/>
          <w:bCs/>
        </w:rPr>
        <w:t xml:space="preserve">Competitor monitoring </w:t>
      </w:r>
      <w:r>
        <w:t xml:space="preserve">(specifically: Handshake EU job postings, JobTeaser+Graduateland NL announcements, Magnet.me product changes)</w:t>
      </w:r>
    </w:p>
    <w:p>
      <w:pPr>
        <w:pStyle w:val="Heading2"/>
        <w:spacing w:after="100" w:before="260"/>
      </w:pPr>
      <w:r>
        <w:t xml:space="preserve">5.3 Strategic pivots to consider if assumptions prove false</w:t>
      </w:r>
    </w:p>
    <w:p>
      <w:pPr>
        <w:spacing w:after="120" w:before="0" w:line="300"/>
      </w:pPr>
      <w:r>
        <w:rPr>
          <w:b/>
          <w:bCs/>
        </w:rPr>
        <w:t xml:space="preserve">If A2 fails (universities slow): </w:t>
      </w:r>
      <w:r>
        <w:t xml:space="preserve">Pivot to direct B2B employer-first GTM, competing on AI shortlisting and explainability rather than institutional embed. Closer to the Mercor/Paradox positioning, away from the JobTeaser/Handshake one. Smaller revenue ceiling but tighter sales cycle and faster ARR build.</w:t>
      </w:r>
    </w:p>
    <w:p>
      <w:pPr>
        <w:spacing w:after="120" w:before="0" w:line="300"/>
      </w:pPr>
      <w:r>
        <w:rPr>
          <w:b/>
          <w:bCs/>
        </w:rPr>
        <w:t xml:space="preserve">If A3 fails (SME freemium does not convert): </w:t>
      </w:r>
      <w:r>
        <w:t xml:space="preserve">Move upmarket. Charge enterprise employers (mid-market and up) for API access to the matching engine, integrating with their existing ATS (Workday, Personio, Greenhouse). Sells a smaller number of larger contracts; aligns better with EU AI Act compliance buyers; loses the SME visibility-tax narrative but salvages the engine.</w:t>
      </w:r>
    </w:p>
    <w:p>
      <w:pPr>
        <w:spacing w:after="120" w:before="0" w:line="300"/>
      </w:pPr>
      <w:r>
        <w:rPr>
          <w:b/>
          <w:bCs/>
        </w:rPr>
        <w:t xml:space="preserve">If A4 fails (matching quality not differentiating): </w:t>
      </w:r>
      <w:r>
        <w:t xml:space="preserve">Narrow to career-services analytics only. The university analytics product line is the most under-served part of the memo and the least competed. Sell cohort outcome tracking + skills-gap intelligence as standalone SaaS to Dutch universities; abandon the two-sided matching ambition or reposition it as a downstream module. Smaller TAM but defensible category.</w:t>
      </w:r>
    </w:p>
    <w:p>
      <w:pPr>
        <w:spacing w:after="120" w:before="0" w:line="300"/>
      </w:pPr>
      <w:r>
        <w:rPr>
          <w:b/>
          <w:bCs/>
        </w:rPr>
        <w:t xml:space="preserve">If A1 fails (matching is not the binding constraint): </w:t>
      </w:r>
      <w:r>
        <w:t xml:space="preserve">The hardest pivot. Likely involves repositioning Rookies as a 'skills-gap intelligence' tool for universities and employers — selling the diagnostic, not the matching itself. Requires writing off most of the Roth-Shapley story; salvages the data layer and the LLM analysis.</w:t>
      </w:r>
    </w:p>
    <w:p>
      <w:pPr>
        <w:pStyle w:val="Heading2"/>
        <w:spacing w:after="100" w:before="260"/>
      </w:pPr>
      <w:r>
        <w:t xml:space="preserve">5.4 What to do about the memo itself</w:t>
      </w:r>
    </w:p>
    <w:p>
      <w:pPr>
        <w:spacing w:after="120" w:before="0" w:line="300"/>
      </w:pPr>
      <w:r>
        <w:t xml:space="preserve">Three corrections that should happen before this memo is sent to another investor:</w:t>
      </w:r>
    </w:p>
    <w:p>
      <w:pPr>
        <w:pStyle w:val="ListParagraph"/>
        <w:numPr>
          <w:ilvl w:val="0"/>
          <w:numId w:val="2"/>
        </w:numPr>
        <w:spacing w:after="80"/>
      </w:pPr>
      <w:r>
        <w:t xml:space="preserve">Fix the '3 in 4 students leave the Netherlands' line. It is wrong (Nuffic shows 25% of international graduates stay; the 75% leave figure does not apply to all graduates). Investors will catch it and it will undermine the rest of the data table.</w:t>
      </w:r>
    </w:p>
    <w:p>
      <w:pPr>
        <w:pStyle w:val="ListParagraph"/>
        <w:numPr>
          <w:ilvl w:val="0"/>
          <w:numId w:val="2"/>
        </w:numPr>
        <w:spacing w:after="80"/>
      </w:pPr>
      <w:r>
        <w:t xml:space="preserve">Add Handshake to the competition section. Acknowledge the threat, position against it (national embed, EU AI Act native, mechanism-design differentiation). Silence is worse than a real competitor.</w:t>
      </w:r>
    </w:p>
    <w:p>
      <w:pPr>
        <w:pStyle w:val="ListParagraph"/>
        <w:numPr>
          <w:ilvl w:val="0"/>
          <w:numId w:val="2"/>
        </w:numPr>
        <w:spacing w:after="80"/>
      </w:pPr>
      <w:r>
        <w:t xml:space="preserve">Soften the '5 applications to 1 interview' claim until the retrospective counterfactual is run. As written it reads as a marketing promise; replace with 'we are targeting a ~20x improvement on application-to-interview ratio and will publish first pilot evidence in Q1 2027.'</w:t>
      </w:r>
    </w:p>
    <w:p>
      <w:pPr>
        <w:spacing w:after="120" w:before="0" w:line="300"/>
      </w:pPr>
      <w:r>
        <w:t xml:space="preserve">None of these undermine the thesis. They make the pitch survive a longer conversation.</w:t>
      </w:r>
    </w:p>
    <w:p>
      <w:r>
        <w:br w:type="page"/>
      </w:r>
    </w:p>
    <w:p>
      <w:pPr>
        <w:pStyle w:val="Heading1"/>
        <w:spacing w:after="160" w:before="360"/>
      </w:pPr>
      <w:r>
        <w:t xml:space="preserve">Sources</w:t>
      </w:r>
    </w:p>
    <w:p>
      <w:pPr>
        <w:spacing w:after="60"/>
      </w:pPr>
      <w:hyperlink w:history="1" r:id="rIdky3etg8__2le_hip2plcf">
        <w:r>
          <w:rPr>
            <w:rStyle w:val="Hyperlink"/>
          </w:rPr>
          <w:t xml:space="preserve">Youth Unemployment Rate for the Netherlands (FRED)</w:t>
        </w:r>
      </w:hyperlink>
    </w:p>
    <w:p>
      <w:pPr>
        <w:spacing w:after="60"/>
      </w:pPr>
      <w:hyperlink w:history="1" r:id="rIdy7aazj3at4sbszkh0dhya">
        <w:r>
          <w:rPr>
            <w:rStyle w:val="Hyperlink"/>
          </w:rPr>
          <w:t xml:space="preserve">Why youth unemployment is rising when there are so many vacancies (Leiden University, 2025)</w:t>
        </w:r>
      </w:hyperlink>
    </w:p>
    <w:p>
      <w:pPr>
        <w:spacing w:after="60"/>
      </w:pPr>
      <w:hyperlink w:history="1" r:id="rIdt3z6i1yauzuor59eexvdg">
        <w:r>
          <w:rPr>
            <w:rStyle w:val="Hyperlink"/>
          </w:rPr>
          <w:t xml:space="preserve">When graduates get stuck in a tight job market (DUB, Utrecht)</w:t>
        </w:r>
      </w:hyperlink>
    </w:p>
    <w:p>
      <w:pPr>
        <w:spacing w:after="60"/>
      </w:pPr>
      <w:hyperlink w:history="1" r:id="rIde_sx-zlcn4fleytnlo4_p">
        <w:r>
          <w:rPr>
            <w:rStyle w:val="Hyperlink"/>
          </w:rPr>
          <w:t xml:space="preserve">Magnet.me funding from Rabobank (Silicon Canals, 2024)</w:t>
        </w:r>
      </w:hyperlink>
    </w:p>
    <w:p>
      <w:pPr>
        <w:spacing w:after="60"/>
      </w:pPr>
      <w:hyperlink w:history="1" r:id="rIdb7fc0nn8niqfzkzvt7bkt">
        <w:r>
          <w:rPr>
            <w:rStyle w:val="Hyperlink"/>
          </w:rPr>
          <w:t xml:space="preserve">Magnet.me — Wikipedia</w:t>
        </w:r>
      </w:hyperlink>
    </w:p>
    <w:p>
      <w:pPr>
        <w:spacing w:after="60"/>
      </w:pPr>
      <w:hyperlink w:history="1" r:id="rIdwju5lq6ubdmv3ufpgx-tr">
        <w:r>
          <w:rPr>
            <w:rStyle w:val="Hyperlink"/>
          </w:rPr>
          <w:t xml:space="preserve">JobTeaser 2025 Company Profile (Tracxn)</w:t>
        </w:r>
      </w:hyperlink>
    </w:p>
    <w:p>
      <w:pPr>
        <w:spacing w:after="60"/>
      </w:pPr>
      <w:hyperlink w:history="1" r:id="rIdn-ftocax6to1u-o1pe_ve">
        <w:r>
          <w:rPr>
            <w:rStyle w:val="Hyperlink"/>
          </w:rPr>
          <w:t xml:space="preserve">JobTeaser raises €50M Series C with Highland Europe (Alven, 2019)</w:t>
        </w:r>
      </w:hyperlink>
    </w:p>
    <w:p>
      <w:pPr>
        <w:spacing w:after="60"/>
      </w:pPr>
      <w:hyperlink w:history="1" r:id="rIdqxqw7df0pvedpt-ix1vjv">
        <w:r>
          <w:rPr>
            <w:rStyle w:val="Hyperlink"/>
          </w:rPr>
          <w:t xml:space="preserve">Handshake acquires Talentspace for European expansion</w:t>
        </w:r>
      </w:hyperlink>
    </w:p>
    <w:p>
      <w:pPr>
        <w:spacing w:after="60"/>
      </w:pPr>
      <w:hyperlink w:history="1" r:id="rIds4m1ogprja6skaxaryalu">
        <w:r>
          <w:rPr>
            <w:rStyle w:val="Hyperlink"/>
          </w:rPr>
          <w:t xml:space="preserve">Handshake revenue, valuation &amp; funding (Sacra)</w:t>
        </w:r>
      </w:hyperlink>
    </w:p>
    <w:p>
      <w:pPr>
        <w:spacing w:after="60"/>
      </w:pPr>
      <w:hyperlink w:history="1" r:id="rIdsuojhzzomary03aaiwxxz">
        <w:r>
          <w:rPr>
            <w:rStyle w:val="Hyperlink"/>
          </w:rPr>
          <w:t xml:space="preserve">Handshake 2024 Revenue $172M ARR (GetLatka)</w:t>
        </w:r>
      </w:hyperlink>
    </w:p>
    <w:p>
      <w:pPr>
        <w:spacing w:after="60"/>
      </w:pPr>
      <w:hyperlink w:history="1" r:id="rIdnyyw2p85-rj7ium1lz50t">
        <w:r>
          <w:rPr>
            <w:rStyle w:val="Hyperlink"/>
          </w:rPr>
          <w:t xml:space="preserve">How Handshake reinvented itself for the AI era</w:t>
        </w:r>
      </w:hyperlink>
    </w:p>
    <w:p>
      <w:pPr>
        <w:spacing w:after="60"/>
      </w:pPr>
      <w:hyperlink w:history="1" r:id="rIdtuucxppe87ekjzphg1jta">
        <w:r>
          <w:rPr>
            <w:rStyle w:val="Hyperlink"/>
          </w:rPr>
          <w:t xml:space="preserve">Nuffic — Stay rates of international graduates</w:t>
        </w:r>
      </w:hyperlink>
    </w:p>
    <w:p>
      <w:pPr>
        <w:spacing w:after="60"/>
      </w:pPr>
      <w:hyperlink w:history="1" r:id="rIdy3q95esrreqj5q_ag8tnv">
        <w:r>
          <w:rPr>
            <w:rStyle w:val="Hyperlink"/>
          </w:rPr>
          <w:t xml:space="preserve">More graduates are staying in the Netherlands (The Class Foundation, 2024)</w:t>
        </w:r>
      </w:hyperlink>
    </w:p>
    <w:p>
      <w:pPr>
        <w:spacing w:after="60"/>
      </w:pPr>
      <w:hyperlink w:history="1" r:id="rIdqasufvj3twqyfiuhsjhuq">
        <w:r>
          <w:rPr>
            <w:rStyle w:val="Hyperlink"/>
          </w:rPr>
          <w:t xml:space="preserve">AI and Human Resources in the EU: 2026 Legal Overview (Crowell &amp; Moring)</w:t>
        </w:r>
      </w:hyperlink>
    </w:p>
    <w:p>
      <w:pPr>
        <w:spacing w:after="60"/>
      </w:pPr>
      <w:hyperlink w:history="1" r:id="rId28xha2byjfjxzjx5icxlo">
        <w:r>
          <w:rPr>
            <w:rStyle w:val="Hyperlink"/>
          </w:rPr>
          <w:t xml:space="preserve">EU AI Act in HR: Requirements and compliance (HR-ON)</w:t>
        </w:r>
      </w:hyperlink>
    </w:p>
    <w:p>
      <w:pPr>
        <w:spacing w:after="60"/>
      </w:pPr>
      <w:hyperlink w:history="1" r:id="rIdptdgaan-9o9_7cfve9ona">
        <w:r>
          <w:rPr>
            <w:rStyle w:val="Hyperlink"/>
          </w:rPr>
          <w:t xml:space="preserve">EU AI Act and Hiring 2026 Compliance Guide (Truffle)</w:t>
        </w:r>
      </w:hyperlink>
    </w:p>
    <w:p>
      <w:pPr>
        <w:spacing w:after="60"/>
      </w:pPr>
      <w:hyperlink w:history="1" r:id="rIdrseziwsfyfzpmp5i9nuig">
        <w:r>
          <w:rPr>
            <w:rStyle w:val="Hyperlink"/>
          </w:rPr>
          <w:t xml:space="preserve">What the EU AI Act means for staffing businesses</w:t>
        </w:r>
      </w:hyperlink>
    </w:p>
    <w:p>
      <w:pPr>
        <w:spacing w:after="60"/>
      </w:pPr>
      <w:hyperlink w:history="1" r:id="rIdbk-q5rm9vht2amqzgocyv">
        <w:r>
          <w:rPr>
            <w:rStyle w:val="Hyperlink"/>
          </w:rPr>
          <w:t xml:space="preserve">Mercor raises $100M at $2B valuation (TechCrunch, Feb 2025)</w:t>
        </w:r>
      </w:hyperlink>
    </w:p>
    <w:p>
      <w:pPr>
        <w:spacing w:after="60"/>
      </w:pPr>
      <w:hyperlink w:history="1" r:id="rIdvnexpmv95x7lwtjyxhmda">
        <w:r>
          <w:rPr>
            <w:rStyle w:val="Hyperlink"/>
          </w:rPr>
          <w:t xml:space="preserve">Mercor quintuples valuation to $10B (TechCrunch, Oct 2025)</w:t>
        </w:r>
      </w:hyperlink>
    </w:p>
    <w:p>
      <w:pPr>
        <w:spacing w:after="60"/>
      </w:pPr>
      <w:hyperlink w:history="1" r:id="rIdld2qvel0atsgdpbqegf8o">
        <w:r>
          <w:rPr>
            <w:rStyle w:val="Hyperlink"/>
          </w:rPr>
          <w:t xml:space="preserve">Why entry-level jobs in Europe are becoming harder to find (Talentup, 2025)</w:t>
        </w:r>
      </w:hyperlink>
    </w:p>
    <w:p>
      <w:pPr>
        <w:spacing w:after="60"/>
      </w:pPr>
      <w:hyperlink w:history="1" r:id="rIdpwpotpsuhkc9_m_kc-cpv">
        <w:r>
          <w:rPr>
            <w:rStyle w:val="Hyperlink"/>
          </w:rPr>
          <w:t xml:space="preserve">Talent shortages in the Dutch labour market and AI recruitment (FirstAIMovers)</w:t>
        </w:r>
      </w:hyperlink>
    </w:p>
    <w:p>
      <w:pPr>
        <w:spacing w:after="60"/>
      </w:pPr>
      <w:hyperlink w:history="1" r:id="rIdodu7zhqw6pw7cdn_auuds">
        <w:r>
          <w:rPr>
            <w:rStyle w:val="Hyperlink"/>
          </w:rPr>
          <w:t xml:space="preserve">Joboti acquired by Textkernel (LinkedIn)</w:t>
        </w:r>
      </w:hyperlink>
    </w:p>
    <w:p>
      <w:pPr>
        <w:spacing w:after="60"/>
      </w:pPr>
      <w:hyperlink w:history="1" r:id="rIdo4zigwph6vpy22kxkdwom">
        <w:r>
          <w:rPr>
            <w:rStyle w:val="Hyperlink"/>
          </w:rPr>
          <w:t xml:space="preserve">YoungCapital company overview (LeadIQ)</w:t>
        </w:r>
      </w:hyperlink>
    </w:p>
    <w:p>
      <w:pPr>
        <w:spacing w:after="60"/>
      </w:pPr>
      <w:hyperlink w:history="1" r:id="rIdrgt8wji3bvijlgctlnrcp">
        <w:r>
          <w:rPr>
            <w:rStyle w:val="Hyperlink"/>
          </w:rPr>
          <w:t xml:space="preserve">Stable Matching Mechanisms are Not Obviously Strategy-Proof (Ashlagi &amp; Gonczarowski)</w:t>
        </w:r>
      </w:hyperlink>
    </w:p>
    <w:p>
      <w:pPr>
        <w:spacing w:after="60"/>
      </w:pPr>
      <w:hyperlink w:history="1" r:id="rIddv580tthqxxjvo2veblz0">
        <w:r>
          <w:rPr>
            <w:rStyle w:val="Hyperlink"/>
          </w:rPr>
          <w:t xml:space="preserve">Online Labor Markets III: Mechanism Design in Online Platforms (MD4SG)</w:t>
        </w:r>
      </w:hyperlink>
    </w:p>
    <w:p>
      <w:pPr>
        <w:spacing w:after="60"/>
      </w:pPr>
      <w:hyperlink w:history="1" r:id="rId1mmpiqtt7zetqsrqhvfv8">
        <w:r>
          <w:rPr>
            <w:rStyle w:val="Hyperlink"/>
          </w:rPr>
          <w:t xml:space="preserve">Evidence from a two-sided labor matching platform (Wharton)</w:t>
        </w:r>
      </w:hyperlink>
    </w:p>
    <w:p>
      <w:pPr>
        <w:spacing w:after="60"/>
      </w:pPr>
      <w:hyperlink w:history="1" r:id="rId03xkb2v0jw5r1rsnumes2">
        <w:r>
          <w:rPr>
            <w:rStyle w:val="Hyperlink"/>
          </w:rPr>
          <w:t xml:space="preserve">Top 15 Job Posting Sites in the Netherlands for 2026 (Manatal)</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Rookies · Market Assumption Stress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y3etg8__2le_hip2plcf" Type="http://schemas.openxmlformats.org/officeDocument/2006/relationships/hyperlink" Target="https://fred.stlouisfed.org/series/SLUEM1524ZSNLD" TargetMode="External"/><Relationship Id="rIdy7aazj3at4sbszkh0dhya" Type="http://schemas.openxmlformats.org/officeDocument/2006/relationships/hyperlink" Target="https://www.universiteitleiden.nl/en/in-the-media/2025/12/why-is-youth-unemployment-rising-when-there-are-so-many-vacancies" TargetMode="External"/><Relationship Id="rIdt3z6i1yauzuor59eexvdg" Type="http://schemas.openxmlformats.org/officeDocument/2006/relationships/hyperlink" Target="https://dub.uu.nl/en/depth/when-graduates-gets-stuck-tight-job-market" TargetMode="External"/><Relationship Id="rIde_sx-zlcn4fleytnlo4_p" Type="http://schemas.openxmlformats.org/officeDocument/2006/relationships/hyperlink" Target="https://siliconcanals.com/rotterdam-based-magnet-me-ropes-in-a-few-tons-of-funding-from-rabobank-all-you-need-to-know/" TargetMode="External"/><Relationship Id="rIdb7fc0nn8niqfzkzvt7bkt" Type="http://schemas.openxmlformats.org/officeDocument/2006/relationships/hyperlink" Target="https://en.wikipedia.org/wiki/Magnet.me" TargetMode="External"/><Relationship Id="rIdwju5lq6ubdmv3ufpgx-tr" Type="http://schemas.openxmlformats.org/officeDocument/2006/relationships/hyperlink" Target="https://tracxn.com/d/companies/jobteaser/__xTFSZzqIvfuUaUSV7xxWecah2DagJ2oxJDkf9TNbxI4" TargetMode="External"/><Relationship Id="rIdn-ftocax6to1u-o1pe_ve" Type="http://schemas.openxmlformats.org/officeDocument/2006/relationships/hyperlink" Target="https://alven.co/online-graduate-recruiter-jobteaser-raises-e50-million-transform-young-people-find-work/" TargetMode="External"/><Relationship Id="rIdqxqw7df0pvedpt-ix1vjv" Type="http://schemas.openxmlformats.org/officeDocument/2006/relationships/hyperlink" Target="https://employernews.co.uk/news/handshake-acquires-talentspace-to-expand-career-opportunity-for-european-jobseekers/" TargetMode="External"/><Relationship Id="rIds4m1ogprja6skaxaryalu" Type="http://schemas.openxmlformats.org/officeDocument/2006/relationships/hyperlink" Target="https://sacra.com/c/handshake/" TargetMode="External"/><Relationship Id="rIdsuojhzzomary03aaiwxxz" Type="http://schemas.openxmlformats.org/officeDocument/2006/relationships/hyperlink" Target="https://getlatka.com/companies/handshake-1" TargetMode="External"/><Relationship Id="rIdnyyw2p85-rj7ium1lz50t" Type="http://schemas.openxmlformats.org/officeDocument/2006/relationships/hyperlink" Target="https://ainativegtm.substack.com/p/how-handshake-reinvented-itself-for" TargetMode="External"/><Relationship Id="rIdtuucxppe87ekjzphg1jta" Type="http://schemas.openxmlformats.org/officeDocument/2006/relationships/hyperlink" Target="https://www.nuffic.nl/en/stayrates-of-international-graduates" TargetMode="External"/><Relationship Id="rIdy3q95esrreqj5q_ag8tnv" Type="http://schemas.openxmlformats.org/officeDocument/2006/relationships/hyperlink" Target="https://www.theclassfoundation.com/post/more-graduates-are-staying-in-the-netherlands--even-as-internationalisation-tightens" TargetMode="External"/><Relationship Id="rIdqasufvj3twqyfiuhsjhuq" Type="http://schemas.openxmlformats.org/officeDocument/2006/relationships/hyperlink" Target="https://www.crowell.com/en/insights/client-alerts/artificial-intelligence-and-human-resources-in-the-eu-a-2026-legal-overview" TargetMode="External"/><Relationship Id="rId28xha2byjfjxzjx5icxlo" Type="http://schemas.openxmlformats.org/officeDocument/2006/relationships/hyperlink" Target="https://hr-on.com/eu-ai-act-for-hr-2026/" TargetMode="External"/><Relationship Id="rIdptdgaan-9o9_7cfve9ona" Type="http://schemas.openxmlformats.org/officeDocument/2006/relationships/hyperlink" Target="https://www.hiretruffle.com/blog/eu-ai-act-hiring" TargetMode="External"/><Relationship Id="rIdrseziwsfyfzpmp5i9nuig" Type="http://schemas.openxmlformats.org/officeDocument/2006/relationships/hyperlink" Target="https://artificialintelligenceact.eu/what-the-act-means-for-staffing-businesses/" TargetMode="External"/><Relationship Id="rIdbk-q5rm9vht2amqzgocyv" Type="http://schemas.openxmlformats.org/officeDocument/2006/relationships/hyperlink" Target="https://techcrunch.com/2025/02/20/mercor-an-ai-recruiting-startup-founded-by-21-year-olds-raises-100m-at-2b-valuation/" TargetMode="External"/><Relationship Id="rIdvnexpmv95x7lwtjyxhmda" Type="http://schemas.openxmlformats.org/officeDocument/2006/relationships/hyperlink" Target="https://techcrunch.com/2025/10/27/mercor-quintuples-valuation-to-10b-with-350m-series-c/" TargetMode="External"/><Relationship Id="rIdld2qvel0atsgdpbqegf8o" Type="http://schemas.openxmlformats.org/officeDocument/2006/relationships/hyperlink" Target="https://talentup.io/blog/why-entry-level-jobs-in-europe-are-becoming-harder-to-find-in-2025/" TargetMode="External"/><Relationship Id="rIdpwpotpsuhkc9_m_kc-cpv" Type="http://schemas.openxmlformats.org/officeDocument/2006/relationships/hyperlink" Target="https://www.firstaimovers.com/p/ai-recruitment-dutch-talent-shortage" TargetMode="External"/><Relationship Id="rIdodu7zhqw6pw7cdn_auuds" Type="http://schemas.openxmlformats.org/officeDocument/2006/relationships/hyperlink" Target="https://www.linkedin.com/company/joboti/" TargetMode="External"/><Relationship Id="rIdo4zigwph6vpy22kxkdwom" Type="http://schemas.openxmlformats.org/officeDocument/2006/relationships/hyperlink" Target="https://leadiq.com/c/youngcapital/5a1d8ac4240000240064f262" TargetMode="External"/><Relationship Id="rIdrgt8wji3bvijlgctlnrcp" Type="http://schemas.openxmlformats.org/officeDocument/2006/relationships/hyperlink" Target="https://arxiv.org/pdf/1511.00452" TargetMode="External"/><Relationship Id="rIddv580tthqxxjvo2veblz0" Type="http://schemas.openxmlformats.org/officeDocument/2006/relationships/hyperlink" Target="https://md4sg.com/researchgroup/notes/onlinelabormarkets3.pdf" TargetMode="External"/><Relationship Id="rId1mmpiqtt7zetqsrqhvfv8" Type="http://schemas.openxmlformats.org/officeDocument/2006/relationships/hyperlink" Target="https://mackinstitute.wharton.upenn.edu/wp-content/uploads/2019/04/Barach-Moshe-Kaul-Aseem-Leung-Ming-and-Lu-Sibo_Small-Numbers-Bargaining-in-the-Age-of-Big-Data.-Evidence-from-a-Two-Sided-Labor-Matching-Platform.pdf" TargetMode="External"/><Relationship Id="rId03xkb2v0jw5r1rsnumes2" Type="http://schemas.openxmlformats.org/officeDocument/2006/relationships/hyperlink" Target="https://www.manatal.com/blog/job-posting-site-netherlands"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2026-05-25T14:40:10.107Z</dcterms:created>
  <dcterms:modified xsi:type="dcterms:W3CDTF">2026-05-25T14:40:10.107Z</dcterms:modified>
</cp:coreProperties>
</file>

<file path=docProps/custom.xml><?xml version="1.0" encoding="utf-8"?>
<Properties xmlns="http://schemas.openxmlformats.org/officeDocument/2006/custom-properties" xmlns:vt="http://schemas.openxmlformats.org/officeDocument/2006/docPropsVTypes"/>
</file>