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7B" w:rsidRPr="00F64DDD" w:rsidRDefault="00C3237B" w:rsidP="00F64DDD">
      <w:pPr>
        <w:rPr>
          <w:b/>
        </w:rPr>
      </w:pPr>
      <w:bookmarkStart w:id="0" w:name="_Toc480813174"/>
      <w:bookmarkStart w:id="1" w:name="_Toc482174293"/>
      <w:r w:rsidRPr="00F64DDD">
        <w:rPr>
          <w:b/>
        </w:rPr>
        <w:t>Общее опис</w:t>
      </w:r>
      <w:bookmarkStart w:id="2" w:name="_GoBack"/>
      <w:bookmarkEnd w:id="2"/>
      <w:r w:rsidRPr="00F64DDD">
        <w:rPr>
          <w:b/>
        </w:rPr>
        <w:t>ание АЭС-2006</w:t>
      </w:r>
      <w:bookmarkEnd w:id="0"/>
      <w:bookmarkEnd w:id="1"/>
    </w:p>
    <w:p w:rsidR="00C3237B" w:rsidRPr="00EC2F51" w:rsidRDefault="00C3237B" w:rsidP="00C3237B">
      <w:pPr>
        <w:rPr>
          <w:color w:val="000000"/>
        </w:rPr>
      </w:pPr>
      <w:r w:rsidRPr="00EC2F51">
        <w:rPr>
          <w:color w:val="000000"/>
        </w:rPr>
        <w:t>В проекте АЭС-2006 для условий площадки</w:t>
      </w:r>
      <w:r>
        <w:rPr>
          <w:color w:val="000000"/>
        </w:rPr>
        <w:t xml:space="preserve"> 4-ой очереди НВАЭС</w:t>
      </w:r>
      <w:r w:rsidRPr="00EC2F51">
        <w:rPr>
          <w:color w:val="000000"/>
        </w:rPr>
        <w:t xml:space="preserve"> с ВВЭР-1200 реализована концепция современных АЭС с повышенными технико-экономическими показателями и высоким уровнем безопасности. </w:t>
      </w:r>
    </w:p>
    <w:p w:rsidR="00C3237B" w:rsidRPr="00EC2F51" w:rsidRDefault="00C3237B" w:rsidP="00C3237B">
      <w:pPr>
        <w:rPr>
          <w:color w:val="000000"/>
        </w:rPr>
      </w:pPr>
      <w:r w:rsidRPr="00EC2F51">
        <w:rPr>
          <w:color w:val="000000"/>
        </w:rPr>
        <w:t xml:space="preserve">Электрическая мощность энергоблока составляет 1200 МВт. </w:t>
      </w:r>
    </w:p>
    <w:p w:rsidR="00C3237B" w:rsidRPr="00EC2F51" w:rsidRDefault="00C3237B" w:rsidP="00C3237B">
      <w:pPr>
        <w:rPr>
          <w:color w:val="000000"/>
        </w:rPr>
      </w:pPr>
      <w:r w:rsidRPr="00EC2F51">
        <w:rPr>
          <w:color w:val="000000"/>
        </w:rPr>
        <w:t>Режим работы – базовый, маневренный.</w:t>
      </w:r>
    </w:p>
    <w:p w:rsidR="00C3237B" w:rsidRPr="00EC2F51" w:rsidRDefault="00C3237B" w:rsidP="00C3237B">
      <w:pPr>
        <w:rPr>
          <w:color w:val="000000"/>
        </w:rPr>
      </w:pPr>
      <w:r w:rsidRPr="00EC2F51">
        <w:rPr>
          <w:color w:val="000000"/>
        </w:rPr>
        <w:t>В состав энергоблока входит следующее основное оборудование:</w:t>
      </w:r>
    </w:p>
    <w:p w:rsidR="00C3237B" w:rsidRPr="00C3237B" w:rsidRDefault="00C3237B" w:rsidP="00C3237B">
      <w:pPr>
        <w:pStyle w:val="a3"/>
        <w:numPr>
          <w:ilvl w:val="0"/>
          <w:numId w:val="1"/>
        </w:numPr>
        <w:rPr>
          <w:color w:val="000000"/>
        </w:rPr>
      </w:pPr>
      <w:r w:rsidRPr="00C3237B">
        <w:rPr>
          <w:color w:val="000000"/>
        </w:rPr>
        <w:t>один водо-водяной реактор ВВЭР-1200 тепловой мощностью 3200 MBт, работающий на тепловых нейтронах, с ресурсом корпуса 60 лет. Теплоносителем и замедлителем в реакторе является химически обессоленная вода с борной кислотой, концентрация которой изменяется в процессе эксплуатации. В качестве ядерного топлива используется двуокись урана;</w:t>
      </w:r>
    </w:p>
    <w:p w:rsidR="00C3237B" w:rsidRPr="00C3237B" w:rsidRDefault="00C3237B" w:rsidP="00C3237B">
      <w:pPr>
        <w:pStyle w:val="a3"/>
        <w:numPr>
          <w:ilvl w:val="0"/>
          <w:numId w:val="1"/>
        </w:numPr>
        <w:rPr>
          <w:color w:val="000000"/>
        </w:rPr>
      </w:pPr>
      <w:r w:rsidRPr="00C3237B">
        <w:rPr>
          <w:color w:val="000000"/>
        </w:rPr>
        <w:t>четыре парогенератора ПГВ-1000МКП горизонтального типа. Паропроизводительность каждого парогенератора 1600 т/ч сухого насыщенного пара с давлением 6,9 МПа;</w:t>
      </w:r>
    </w:p>
    <w:p w:rsidR="00C3237B" w:rsidRPr="00C3237B" w:rsidRDefault="00C3237B" w:rsidP="00C3237B">
      <w:pPr>
        <w:pStyle w:val="a3"/>
        <w:numPr>
          <w:ilvl w:val="0"/>
          <w:numId w:val="1"/>
        </w:numPr>
        <w:rPr>
          <w:color w:val="000000"/>
        </w:rPr>
      </w:pPr>
      <w:r w:rsidRPr="00C3237B">
        <w:rPr>
          <w:color w:val="000000"/>
        </w:rPr>
        <w:t>четыре главных циркуляционных насосных агрегата типа ГЦНА-1391;</w:t>
      </w:r>
    </w:p>
    <w:p w:rsidR="00C3237B" w:rsidRPr="00C3237B" w:rsidRDefault="00C3237B" w:rsidP="00C3237B">
      <w:pPr>
        <w:pStyle w:val="a3"/>
        <w:numPr>
          <w:ilvl w:val="0"/>
          <w:numId w:val="1"/>
        </w:numPr>
        <w:rPr>
          <w:color w:val="000000"/>
        </w:rPr>
      </w:pPr>
      <w:r w:rsidRPr="00C3237B">
        <w:rPr>
          <w:color w:val="000000"/>
        </w:rPr>
        <w:t>один турбоагрегат типа К-1200-6,8/50.</w:t>
      </w:r>
    </w:p>
    <w:p w:rsidR="00C3237B" w:rsidRPr="00EC2F51" w:rsidRDefault="00C3237B" w:rsidP="00C3237B">
      <w:pPr>
        <w:rPr>
          <w:color w:val="000000"/>
        </w:rPr>
      </w:pPr>
      <w:r w:rsidRPr="00EC2F51">
        <w:rPr>
          <w:color w:val="000000"/>
        </w:rPr>
        <w:t>Реактор, парогенераторы и другое оборудование первого контура размещаются в двойной защитной железобетонной оболочке.</w:t>
      </w:r>
    </w:p>
    <w:p w:rsidR="00C3237B" w:rsidRPr="00EC2F51" w:rsidRDefault="00C3237B" w:rsidP="00C3237B">
      <w:pPr>
        <w:rPr>
          <w:color w:val="000000"/>
        </w:rPr>
      </w:pPr>
      <w:r w:rsidRPr="00EC2F51">
        <w:rPr>
          <w:color w:val="000000"/>
        </w:rPr>
        <w:t>Двойная защитная оболочка включает в себя:</w:t>
      </w:r>
    </w:p>
    <w:p w:rsidR="00C3237B" w:rsidRPr="00C3237B" w:rsidRDefault="00C3237B" w:rsidP="00C3237B">
      <w:pPr>
        <w:pStyle w:val="a3"/>
        <w:numPr>
          <w:ilvl w:val="0"/>
          <w:numId w:val="2"/>
        </w:numPr>
        <w:rPr>
          <w:color w:val="000000"/>
        </w:rPr>
      </w:pPr>
      <w:r w:rsidRPr="00C3237B">
        <w:rPr>
          <w:color w:val="000000"/>
        </w:rPr>
        <w:t>внутреннюю защитную оболочку из преднапряженного железобетона, рассчитанную на восприятие аварийных параметров среды в ЗЛА;</w:t>
      </w:r>
    </w:p>
    <w:p w:rsidR="00C3237B" w:rsidRPr="00C3237B" w:rsidRDefault="00C3237B" w:rsidP="00C3237B">
      <w:pPr>
        <w:pStyle w:val="a3"/>
        <w:numPr>
          <w:ilvl w:val="0"/>
          <w:numId w:val="2"/>
        </w:numPr>
        <w:rPr>
          <w:color w:val="000000"/>
        </w:rPr>
      </w:pPr>
      <w:r w:rsidRPr="00C3237B">
        <w:rPr>
          <w:color w:val="000000"/>
        </w:rPr>
        <w:t>наружную защитную оболочку из непреднапряженного железобетона, играющую роль защиты от внешних природных и техногенных воздействий и ограничивающую межоболочечное пространство, служащее для улавливания радиоактивных протечек через внутреннюю оболочку в аварийных режимах.</w:t>
      </w:r>
    </w:p>
    <w:p w:rsidR="00C3237B" w:rsidRPr="00C3237B" w:rsidRDefault="00C3237B" w:rsidP="00C3237B">
      <w:pPr>
        <w:rPr>
          <w:b/>
        </w:rPr>
      </w:pPr>
      <w:bookmarkStart w:id="3" w:name="_Toc393897413"/>
      <w:bookmarkStart w:id="4" w:name="_Toc480813176"/>
      <w:bookmarkStart w:id="5" w:name="_Toc482174295"/>
      <w:r w:rsidRPr="00C3237B">
        <w:rPr>
          <w:b/>
        </w:rPr>
        <w:t>Краткое описание энергоблока</w:t>
      </w:r>
      <w:bookmarkEnd w:id="3"/>
      <w:bookmarkEnd w:id="4"/>
      <w:bookmarkEnd w:id="5"/>
    </w:p>
    <w:p w:rsidR="00C3237B" w:rsidRPr="00EC2F51" w:rsidRDefault="00C3237B" w:rsidP="00C3237B">
      <w:pPr>
        <w:rPr>
          <w:noProof/>
        </w:rPr>
      </w:pPr>
      <w:r w:rsidRPr="00EC2F51">
        <w:rPr>
          <w:noProof/>
        </w:rPr>
        <w:t xml:space="preserve">В рамках Базового проекта </w:t>
      </w:r>
      <w:r w:rsidRPr="00EC2F51">
        <w:t xml:space="preserve">АЭС-2006 для условий площадки </w:t>
      </w:r>
      <w:r>
        <w:rPr>
          <w:color w:val="000000"/>
        </w:rPr>
        <w:t>4-ой очереди НВАЭС</w:t>
      </w:r>
      <w:r w:rsidRPr="00EC2F51">
        <w:t xml:space="preserve"> с энергоблоками ВВЭР-1200 </w:t>
      </w:r>
      <w:r w:rsidRPr="00EC2F51">
        <w:rPr>
          <w:noProof/>
        </w:rPr>
        <w:t xml:space="preserve">предусматривается разработка двух энергетических блоков мощностью 1200 МВт в составе реакторной установки типа </w:t>
      </w:r>
      <w:r w:rsidRPr="00EC2F51">
        <w:rPr>
          <w:rFonts w:eastAsia="MS Mincho"/>
        </w:rPr>
        <w:t>В-392М</w:t>
      </w:r>
      <w:r w:rsidRPr="00EC2F51">
        <w:rPr>
          <w:noProof/>
        </w:rPr>
        <w:t xml:space="preserve"> и паровой турбины</w:t>
      </w:r>
      <w:r>
        <w:rPr>
          <w:noProof/>
        </w:rPr>
        <w:br/>
      </w:r>
      <w:r w:rsidRPr="00EC2F51">
        <w:t>К-1200-6,8/50</w:t>
      </w:r>
      <w:r w:rsidRPr="00EC2F51">
        <w:rPr>
          <w:noProof/>
        </w:rPr>
        <w:t>.</w:t>
      </w:r>
    </w:p>
    <w:p w:rsidR="00C3237B" w:rsidRPr="00EC2F51" w:rsidRDefault="00C3237B" w:rsidP="00C3237B">
      <w:pPr>
        <w:rPr>
          <w:b/>
          <w:bCs/>
        </w:rPr>
      </w:pPr>
      <w:r w:rsidRPr="00EC2F51">
        <w:rPr>
          <w:noProof/>
        </w:rPr>
        <w:t>Первый контур - радиоактивный. Он состоит из: реактора, четырех главных циркуляционных петель, четырех главных циркуляционных насосов, греющих частей четырех парогенераторов и одного парового компенсатора давления.</w:t>
      </w:r>
    </w:p>
    <w:p w:rsidR="00C3237B" w:rsidRPr="00EC2F51" w:rsidRDefault="00C3237B" w:rsidP="00C3237B">
      <w:pPr>
        <w:rPr>
          <w:b/>
          <w:bCs/>
        </w:rPr>
      </w:pPr>
      <w:r w:rsidRPr="00EC2F51">
        <w:rPr>
          <w:noProof/>
        </w:rPr>
        <w:t>Второй контур - нерадиоактивный. Он состоит из: паропроизводительной части парогенераторов, паропроводов свежего пара, одного турбоагрегата, включающего в себя турбоустановку и турбогенератор, конденсатных насосов, системы регенеративных подогревателей низкого давления, системы основного конденсата, деаэраторов, системы питательной воды, включая питательные насосы и системы регенеративных подогревателей высокого давления.</w:t>
      </w:r>
    </w:p>
    <w:p w:rsidR="00C3237B" w:rsidRPr="00EC2F51" w:rsidRDefault="00C3237B" w:rsidP="00C3237B">
      <w:r w:rsidRPr="00EC2F51">
        <w:t>В реакторном отделении топливо хранится в бассейне выдержки в стеллажах уплотненного хранения топлива с шагом размещения ТВС - 300 мм по треугольной решетке.</w:t>
      </w:r>
    </w:p>
    <w:p w:rsidR="00C3237B" w:rsidRPr="00EC2F51" w:rsidRDefault="00C3237B" w:rsidP="00C3237B">
      <w:r w:rsidRPr="00EC2F51">
        <w:t>Емкость бассейна выдержки рассчитана исходя из обеспечения:</w:t>
      </w:r>
    </w:p>
    <w:p w:rsidR="00C3237B" w:rsidRPr="00EC2F51" w:rsidRDefault="00C3237B" w:rsidP="00C3237B">
      <w:pPr>
        <w:numPr>
          <w:ilvl w:val="0"/>
          <w:numId w:val="3"/>
        </w:numPr>
        <w:tabs>
          <w:tab w:val="clear" w:pos="1211"/>
          <w:tab w:val="num" w:pos="993"/>
        </w:tabs>
        <w:ind w:firstLine="709"/>
        <w:jc w:val="both"/>
      </w:pPr>
      <w:r w:rsidRPr="00EC2F51">
        <w:t>не менее десятилетней выдержки отработавшего топлива;</w:t>
      </w:r>
    </w:p>
    <w:p w:rsidR="00C3237B" w:rsidRPr="00EC2F51" w:rsidRDefault="00C3237B" w:rsidP="00C3237B">
      <w:pPr>
        <w:numPr>
          <w:ilvl w:val="0"/>
          <w:numId w:val="3"/>
        </w:numPr>
        <w:tabs>
          <w:tab w:val="clear" w:pos="1211"/>
          <w:tab w:val="num" w:pos="993"/>
        </w:tabs>
        <w:ind w:firstLine="709"/>
        <w:jc w:val="both"/>
      </w:pPr>
      <w:r w:rsidRPr="00EC2F51">
        <w:t>размещения ТВС аварийной выгрузки активной зоны реактора;</w:t>
      </w:r>
    </w:p>
    <w:p w:rsidR="00C3237B" w:rsidRPr="00EC2F51" w:rsidRDefault="00C3237B" w:rsidP="00C3237B">
      <w:pPr>
        <w:numPr>
          <w:ilvl w:val="0"/>
          <w:numId w:val="3"/>
        </w:numPr>
        <w:tabs>
          <w:tab w:val="clear" w:pos="1211"/>
          <w:tab w:val="num" w:pos="993"/>
        </w:tabs>
        <w:ind w:firstLine="709"/>
        <w:jc w:val="both"/>
      </w:pPr>
      <w:r w:rsidRPr="00EC2F51">
        <w:t>размещения герметичных пеналов для дефектных ТВС в количестве 15 % от числа ТВС активной зоны.</w:t>
      </w:r>
    </w:p>
    <w:p w:rsidR="00A2728F" w:rsidRDefault="00A2728F" w:rsidP="002742F3"/>
    <w:sectPr w:rsidR="00A2728F" w:rsidSect="002742F3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13246"/>
    <w:multiLevelType w:val="hybridMultilevel"/>
    <w:tmpl w:val="A32C5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97E43"/>
    <w:multiLevelType w:val="hybridMultilevel"/>
    <w:tmpl w:val="421471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A19DF"/>
    <w:multiLevelType w:val="multilevel"/>
    <w:tmpl w:val="0DE680E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5AB0AE1"/>
    <w:multiLevelType w:val="hybridMultilevel"/>
    <w:tmpl w:val="FDF6945E"/>
    <w:lvl w:ilvl="0" w:tplc="89D2E41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7B"/>
    <w:rsid w:val="000A764C"/>
    <w:rsid w:val="000C212C"/>
    <w:rsid w:val="000D477F"/>
    <w:rsid w:val="0024716F"/>
    <w:rsid w:val="002742F3"/>
    <w:rsid w:val="00277C46"/>
    <w:rsid w:val="003E129D"/>
    <w:rsid w:val="005A3377"/>
    <w:rsid w:val="006435A1"/>
    <w:rsid w:val="007C00A9"/>
    <w:rsid w:val="00A2728F"/>
    <w:rsid w:val="00A3575E"/>
    <w:rsid w:val="00BA79FC"/>
    <w:rsid w:val="00C3237B"/>
    <w:rsid w:val="00E276B8"/>
    <w:rsid w:val="00F64DDD"/>
    <w:rsid w:val="00F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E66C0-8792-4EB1-9ED8-F3A2C439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129D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semiHidden/>
    <w:qFormat/>
    <w:rsid w:val="00C3237B"/>
    <w:pPr>
      <w:pageBreakBefore/>
      <w:numPr>
        <w:numId w:val="4"/>
      </w:numPr>
      <w:spacing w:before="240" w:after="240"/>
      <w:jc w:val="both"/>
      <w:outlineLvl w:val="0"/>
    </w:pPr>
    <w:rPr>
      <w:rFonts w:ascii="Times New Roman Полужирный" w:eastAsia="SimSun" w:hAnsi="Times New Roman Полужирный" w:cstheme="majorBidi"/>
      <w:b/>
      <w:bCs/>
      <w:sz w:val="28"/>
      <w:szCs w:val="28"/>
      <w:shd w:val="clear" w:color="auto" w:fill="FFFFFF"/>
      <w:lang w:eastAsia="ru-RU"/>
    </w:rPr>
  </w:style>
  <w:style w:type="paragraph" w:styleId="2">
    <w:name w:val="heading 2"/>
    <w:basedOn w:val="a"/>
    <w:next w:val="a"/>
    <w:link w:val="20"/>
    <w:semiHidden/>
    <w:qFormat/>
    <w:rsid w:val="00C3237B"/>
    <w:pPr>
      <w:numPr>
        <w:ilvl w:val="1"/>
        <w:numId w:val="4"/>
      </w:numPr>
      <w:tabs>
        <w:tab w:val="left" w:pos="1418"/>
      </w:tabs>
      <w:suppressAutoHyphens/>
      <w:spacing w:before="240" w:after="240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semiHidden/>
    <w:qFormat/>
    <w:rsid w:val="00C3237B"/>
    <w:pPr>
      <w:numPr>
        <w:ilvl w:val="2"/>
        <w:numId w:val="4"/>
      </w:numPr>
      <w:spacing w:before="240" w:after="240"/>
      <w:jc w:val="both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semiHidden/>
    <w:qFormat/>
    <w:rsid w:val="00C3237B"/>
    <w:pPr>
      <w:numPr>
        <w:ilvl w:val="3"/>
        <w:numId w:val="4"/>
      </w:numPr>
      <w:spacing w:before="240" w:after="240"/>
      <w:outlineLvl w:val="3"/>
    </w:pPr>
    <w:rPr>
      <w:rFonts w:ascii="Times New Roman Полужирный" w:eastAsiaTheme="majorEastAsia" w:hAnsi="Times New Roman Полужирный" w:cstheme="majorBidi"/>
      <w:b/>
      <w:bCs/>
      <w:iCs/>
    </w:rPr>
  </w:style>
  <w:style w:type="paragraph" w:styleId="5">
    <w:name w:val="heading 5"/>
    <w:basedOn w:val="a"/>
    <w:next w:val="a"/>
    <w:link w:val="50"/>
    <w:semiHidden/>
    <w:qFormat/>
    <w:rsid w:val="00C3237B"/>
    <w:pPr>
      <w:numPr>
        <w:ilvl w:val="4"/>
        <w:numId w:val="4"/>
      </w:numPr>
      <w:spacing w:before="120" w:after="120" w:line="288" w:lineRule="auto"/>
      <w:jc w:val="center"/>
      <w:outlineLvl w:val="4"/>
    </w:pPr>
    <w:rPr>
      <w:rFonts w:ascii="Times New Roman CYR" w:eastAsiaTheme="majorEastAsia" w:hAnsi="Times New Roman CYR" w:cstheme="majorBidi"/>
      <w:b/>
      <w:szCs w:val="20"/>
      <w:lang w:eastAsia="ru-RU"/>
    </w:rPr>
  </w:style>
  <w:style w:type="paragraph" w:styleId="6">
    <w:name w:val="heading 6"/>
    <w:basedOn w:val="a"/>
    <w:next w:val="a"/>
    <w:link w:val="60"/>
    <w:semiHidden/>
    <w:qFormat/>
    <w:rsid w:val="00C3237B"/>
    <w:pPr>
      <w:keepNext/>
      <w:numPr>
        <w:ilvl w:val="5"/>
        <w:numId w:val="4"/>
      </w:numPr>
      <w:jc w:val="center"/>
      <w:outlineLvl w:val="5"/>
    </w:pPr>
    <w:rPr>
      <w:rFonts w:eastAsiaTheme="majorEastAsia" w:cstheme="majorBidi"/>
      <w:sz w:val="28"/>
      <w:szCs w:val="20"/>
      <w:lang w:eastAsia="ru-RU"/>
    </w:rPr>
  </w:style>
  <w:style w:type="paragraph" w:styleId="7">
    <w:name w:val="heading 7"/>
    <w:basedOn w:val="a"/>
    <w:next w:val="a"/>
    <w:link w:val="70"/>
    <w:semiHidden/>
    <w:qFormat/>
    <w:rsid w:val="00C3237B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semiHidden/>
    <w:qFormat/>
    <w:rsid w:val="00C3237B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qFormat/>
    <w:rsid w:val="00C3237B"/>
    <w:pPr>
      <w:keepNext/>
      <w:numPr>
        <w:ilvl w:val="8"/>
        <w:numId w:val="4"/>
      </w:numPr>
      <w:spacing w:before="60" w:after="60"/>
      <w:jc w:val="center"/>
      <w:outlineLvl w:val="8"/>
    </w:pPr>
    <w:rPr>
      <w:rFonts w:eastAsiaTheme="majorEastAsia" w:cstheme="majorBidi"/>
      <w:b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semiHidden/>
    <w:rsid w:val="003E129D"/>
    <w:rPr>
      <w:rFonts w:ascii="Times New Roman Полужирный" w:eastAsia="SimSun" w:hAnsi="Times New Roman Полужирный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3E129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3E129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semiHidden/>
    <w:rsid w:val="003E129D"/>
    <w:rPr>
      <w:rFonts w:ascii="Times New Roman Полужирный" w:eastAsiaTheme="majorEastAsia" w:hAnsi="Times New Roman Полужирный" w:cstheme="majorBidi"/>
      <w:b/>
      <w:bCs/>
      <w:iCs/>
      <w:sz w:val="24"/>
    </w:rPr>
  </w:style>
  <w:style w:type="character" w:customStyle="1" w:styleId="50">
    <w:name w:val="Заголовок 5 Знак"/>
    <w:basedOn w:val="a0"/>
    <w:link w:val="5"/>
    <w:semiHidden/>
    <w:rsid w:val="003E129D"/>
    <w:rPr>
      <w:rFonts w:ascii="Times New Roman CYR" w:eastAsiaTheme="majorEastAsia" w:hAnsi="Times New Roman CYR" w:cstheme="majorBidi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C3237B"/>
    <w:rPr>
      <w:rFonts w:ascii="Times New Roman" w:eastAsiaTheme="majorEastAsia" w:hAnsi="Times New Roman" w:cstheme="majorBidi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C3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C3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C3237B"/>
    <w:rPr>
      <w:rFonts w:ascii="Times New Roman" w:eastAsiaTheme="majorEastAsia" w:hAnsi="Times New Roman" w:cstheme="majorBidi"/>
      <w:b/>
      <w:color w:val="000000"/>
      <w:sz w:val="24"/>
      <w:szCs w:val="24"/>
      <w:lang w:eastAsia="ru-RU"/>
    </w:rPr>
  </w:style>
  <w:style w:type="paragraph" w:customStyle="1" w:styleId="11">
    <w:name w:val="Заголовок  1"/>
    <w:basedOn w:val="a"/>
    <w:next w:val="a"/>
    <w:semiHidden/>
    <w:rsid w:val="00C3237B"/>
    <w:pPr>
      <w:keepNext/>
      <w:pageBreakBefore/>
      <w:tabs>
        <w:tab w:val="left" w:pos="1418"/>
      </w:tabs>
      <w:autoSpaceDE w:val="0"/>
      <w:autoSpaceDN w:val="0"/>
      <w:spacing w:before="240" w:after="120"/>
      <w:ind w:firstLine="709"/>
      <w:jc w:val="both"/>
      <w:outlineLvl w:val="0"/>
    </w:pPr>
    <w:rPr>
      <w:rFonts w:ascii="Times New Roman Полужирный" w:eastAsia="Times New Roman" w:hAnsi="Times New Roman Полужирный"/>
      <w:b/>
      <w:bCs/>
      <w:caps/>
      <w:snapToGrid w:val="0"/>
      <w:sz w:val="28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semiHidden/>
    <w:qFormat/>
    <w:rsid w:val="00C3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Клименко Елена Игоревна</dc:creator>
  <cp:lastModifiedBy>Клименко Елена Игоревна</cp:lastModifiedBy>
  <cp:revision>2</cp:revision>
  <dcterms:created xsi:type="dcterms:W3CDTF">2017-09-07T08:29:00Z</dcterms:created>
  <dcterms:modified xsi:type="dcterms:W3CDTF">2017-09-07T08:29:00Z</dcterms:modified>
</cp:coreProperties>
</file>