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5B" w:rsidRPr="005C16A3" w:rsidRDefault="005032C2" w:rsidP="00831EAA">
      <w:pPr>
        <w:ind w:firstLine="567"/>
        <w:jc w:val="center"/>
        <w:rPr>
          <w:b/>
          <w:color w:val="C00000"/>
        </w:rPr>
      </w:pPr>
      <w:bookmarkStart w:id="0" w:name="_GoBack"/>
      <w:bookmarkEnd w:id="0"/>
      <w:r w:rsidRPr="005C16A3">
        <w:rPr>
          <w:b/>
          <w:color w:val="C00000"/>
        </w:rPr>
        <w:t>САНИТАРНЫЕ ПРАВИЛА</w:t>
      </w:r>
      <w:r w:rsidR="003D095B" w:rsidRPr="005C16A3">
        <w:rPr>
          <w:b/>
          <w:color w:val="C00000"/>
        </w:rPr>
        <w:t xml:space="preserve"> </w:t>
      </w:r>
      <w:r w:rsidR="003D095B" w:rsidRPr="005C16A3">
        <w:rPr>
          <w:b/>
          <w:color w:val="C00000"/>
        </w:rPr>
        <w:br/>
      </w:r>
      <w:r w:rsidRPr="005C16A3">
        <w:rPr>
          <w:b/>
          <w:color w:val="C00000"/>
        </w:rPr>
        <w:t>организации процессов пайки мелких изделии сплавами, содержащими свинец</w:t>
      </w:r>
    </w:p>
    <w:p w:rsidR="005032C2" w:rsidRPr="00877400" w:rsidRDefault="005032C2" w:rsidP="00877400">
      <w:pPr>
        <w:pStyle w:val="1"/>
      </w:pPr>
      <w:r w:rsidRPr="00877400">
        <w:t>Область и порядок применения правил</w:t>
      </w:r>
    </w:p>
    <w:p w:rsidR="003D095B" w:rsidRDefault="005032C2" w:rsidP="00BB26E8">
      <w:pPr>
        <w:pStyle w:val="2"/>
      </w:pPr>
      <w:r w:rsidRPr="00BB26E8">
        <w:t xml:space="preserve">Для вновь организуемых участков, на которых намечается проведение паяльных работ, правила вступают в силу в полном </w:t>
      </w:r>
      <w:r w:rsidR="00332947" w:rsidRPr="00BB26E8">
        <w:t>объёме</w:t>
      </w:r>
      <w:r w:rsidRPr="00BB26E8">
        <w:t xml:space="preserve">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санэпидслужбы.</w:t>
      </w:r>
      <w:r w:rsidR="004A104E">
        <w:t xml:space="preserve"> (см. )</w:t>
      </w:r>
    </w:p>
    <w:p w:rsidR="00332947" w:rsidRPr="003527DC" w:rsidRDefault="003527DC" w:rsidP="00A67AE1">
      <w:pPr>
        <w:pStyle w:val="ad"/>
      </w:pPr>
      <w:r w:rsidRPr="003527DC"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3527DC">
        <w:t xml:space="preserve">. </w:t>
      </w:r>
      <w:r w:rsidR="00332947" w:rsidRPr="003527DC">
        <w:t>Виды нормативных актов</w:t>
      </w:r>
    </w:p>
    <w:tbl>
      <w:tblPr>
        <w:tblStyle w:val="a5"/>
        <w:tblW w:w="0" w:type="auto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734"/>
        <w:gridCol w:w="1614"/>
        <w:gridCol w:w="3280"/>
      </w:tblGrid>
      <w:tr w:rsidR="00E21529" w:rsidRPr="00E21529" w:rsidTr="00E21529">
        <w:tc>
          <w:tcPr>
            <w:tcW w:w="6348" w:type="dxa"/>
            <w:gridSpan w:val="2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Наименование вида нормативного правового акта</w:t>
            </w:r>
          </w:p>
        </w:tc>
        <w:tc>
          <w:tcPr>
            <w:tcW w:w="3280" w:type="dxa"/>
            <w:vMerge w:val="restart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Органы, утверждающие нормативные правовые акты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Полное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Сокращённое</w:t>
            </w:r>
          </w:p>
        </w:tc>
        <w:tc>
          <w:tcPr>
            <w:tcW w:w="3280" w:type="dxa"/>
            <w:vMerge/>
            <w:hideMark/>
          </w:tcPr>
          <w:p w:rsidR="00E21529" w:rsidRPr="00E21529" w:rsidRDefault="00E21529" w:rsidP="00E21529"/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Государственные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ГОСТ Р </w:t>
            </w:r>
          </w:p>
          <w:p w:rsidR="00E21529" w:rsidRPr="00E21529" w:rsidRDefault="00E21529" w:rsidP="00E21529">
            <w:r w:rsidRPr="00E21529">
              <w:t>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 xml:space="preserve">Госстандарт России </w:t>
            </w:r>
          </w:p>
          <w:p w:rsidR="00E21529" w:rsidRPr="00E21529" w:rsidRDefault="00E21529" w:rsidP="00E21529">
            <w:r w:rsidRPr="00E21529">
              <w:t>Минстрой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Отраслевые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ОСТ, 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Федеральные органы исполнительной власти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Санитарные правила. Санитарные нормы. Гигиенические нормативы. Сан. правила и нормы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СП, СН </w:t>
            </w:r>
          </w:p>
          <w:p w:rsidR="00E21529" w:rsidRPr="00E21529" w:rsidRDefault="00E21529" w:rsidP="00E21529">
            <w:r w:rsidRPr="00E21529">
              <w:t>ГН, СанПиН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Госкомнадзор России</w:t>
            </w:r>
          </w:p>
          <w:p w:rsidR="00E21529" w:rsidRPr="00E21529" w:rsidRDefault="00E21529" w:rsidP="00E21529">
            <w:r w:rsidRPr="00E21529">
              <w:t>Минздрав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Строительные нормы и правила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СНиП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Минстрой России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</w:t>
      </w:r>
      <w:r w:rsidR="004A104E">
        <w:t>. (см. )</w:t>
      </w:r>
    </w:p>
    <w:p w:rsidR="00332947" w:rsidRPr="00332947" w:rsidRDefault="003527DC" w:rsidP="00A67AE1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 w:rsidR="00332947">
        <w:t>Группы стандартов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57"/>
        <w:gridCol w:w="8671"/>
      </w:tblGrid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Группа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Наименование группы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0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Организационно-методические стандарты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1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и норм по видам опасных и вредных производственных факторов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2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производственному оборудованию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3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производственным процессам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4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к средствам защиты работающих</w:t>
            </w:r>
          </w:p>
        </w:tc>
      </w:tr>
    </w:tbl>
    <w:p w:rsidR="00B23904" w:rsidRDefault="00B23904" w:rsidP="00B23904">
      <w:pPr>
        <w:pStyle w:val="1"/>
      </w:pPr>
      <w:r w:rsidRPr="008877FC">
        <w:t>Медико-профилактическое обслуживание рабочих</w:t>
      </w:r>
    </w:p>
    <w:p w:rsidR="00B23904" w:rsidRDefault="00B23904" w:rsidP="00B23904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  <w:r w:rsidR="004A104E">
        <w:t xml:space="preserve"> (см. )</w:t>
      </w:r>
    </w:p>
    <w:p w:rsidR="00332947" w:rsidRPr="00332947" w:rsidRDefault="003527DC" w:rsidP="00A67AE1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3527DC">
        <w:t xml:space="preserve">. </w:t>
      </w:r>
      <w:r w:rsidR="00332947">
        <w:t>Периодичность медицинских осмотров</w:t>
      </w:r>
    </w:p>
    <w:tbl>
      <w:tblPr>
        <w:tblStyle w:val="a5"/>
        <w:tblW w:w="5000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1720"/>
        <w:gridCol w:w="1465"/>
        <w:gridCol w:w="1545"/>
        <w:gridCol w:w="1793"/>
        <w:gridCol w:w="3105"/>
      </w:tblGrid>
      <w:tr w:rsidR="005629CB" w:rsidRPr="005629CB" w:rsidTr="00850DBF">
        <w:tc>
          <w:tcPr>
            <w:tcW w:w="938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Наименование работ и профессий</w:t>
            </w:r>
          </w:p>
        </w:tc>
        <w:tc>
          <w:tcPr>
            <w:tcW w:w="582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Периодичность осмотров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</w:p>
        </w:tc>
        <w:tc>
          <w:tcPr>
            <w:tcW w:w="84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Участие врачей-специалистов</w:t>
            </w:r>
          </w:p>
        </w:tc>
        <w:tc>
          <w:tcPr>
            <w:tcW w:w="976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Лабораторные</w:t>
            </w:r>
            <w:r w:rsidRPr="005629CB">
              <w:rPr>
                <w:b/>
                <w:bCs/>
                <w:sz w:val="20"/>
              </w:rPr>
              <w:br/>
              <w:t>и функциональные исследования</w:t>
            </w:r>
          </w:p>
        </w:tc>
        <w:tc>
          <w:tcPr>
            <w:tcW w:w="165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Дополнительные медицинские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Противопоказания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(4)</w:t>
            </w:r>
          </w:p>
        </w:tc>
      </w:tr>
      <w:tr w:rsidR="005629CB" w:rsidRPr="005629CB" w:rsidTr="00850DBF">
        <w:tc>
          <w:tcPr>
            <w:tcW w:w="938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582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84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976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165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</w:tr>
    </w:tbl>
    <w:p w:rsidR="00B23904" w:rsidRDefault="00B23904" w:rsidP="00E21529">
      <w:pPr>
        <w:pStyle w:val="2"/>
        <w:spacing w:before="120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B23904" w:rsidRDefault="00B23904" w:rsidP="00B23904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B23904" w:rsidRDefault="00B23904" w:rsidP="00B23904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</w:t>
      </w:r>
      <w:r w:rsidRPr="008877FC">
        <w:lastRenderedPageBreak/>
        <w:t xml:space="preserve">повышающего опасность воздействия свинца на организм. </w:t>
      </w:r>
      <w:r w:rsidR="00332947" w:rsidRPr="008877FC">
        <w:t>Проведённый</w:t>
      </w:r>
      <w:r w:rsidRPr="008877FC">
        <w:t xml:space="preserve"> инструктаж </w:t>
      </w:r>
      <w:r>
        <w:t>д</w:t>
      </w:r>
      <w:r w:rsidRPr="008877FC">
        <w:t>олжен регистрироваться в специальном журнале с распиской инструктируемых лиц.</w:t>
      </w:r>
      <w:r w:rsidR="004A104E">
        <w:t xml:space="preserve"> (см. )</w:t>
      </w:r>
    </w:p>
    <w:p w:rsidR="005629CB" w:rsidRDefault="005629CB" w:rsidP="00562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igenti-2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5629CB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1</w:t>
        </w:r>
      </w:fldSimple>
      <w:r>
        <w:rPr>
          <w:lang w:val="en-US"/>
        </w:rPr>
        <w:t xml:space="preserve">. </w:t>
      </w:r>
      <w:r w:rsidR="00332947">
        <w:t>Инструктаж</w:t>
      </w:r>
    </w:p>
    <w:p w:rsidR="003D095B" w:rsidRDefault="005032C2" w:rsidP="00336DC7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336DC7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 xml:space="preserve">ки должно осуществляться применительно к данным производствам с </w:t>
      </w:r>
      <w:r w:rsidR="00332947" w:rsidRPr="008877FC">
        <w:t>учётом</w:t>
      </w:r>
      <w:r w:rsidRPr="008877FC">
        <w:t xml:space="preserve">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2</w:t>
        </w:r>
      </w:fldSimple>
      <w:r>
        <w:rPr>
          <w:lang w:val="en-US"/>
        </w:rPr>
        <w:t xml:space="preserve">. </w:t>
      </w:r>
      <w:r w:rsidR="00332947">
        <w:t>Технологический процесс</w:t>
      </w:r>
    </w:p>
    <w:p w:rsidR="003D095B" w:rsidRDefault="005032C2" w:rsidP="00336DC7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</w:t>
      </w:r>
      <w:r w:rsidR="00332947" w:rsidRPr="008877FC">
        <w:t>закруглёнными</w:t>
      </w:r>
      <w:r w:rsidRPr="008877FC">
        <w:t xml:space="preserve">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  <w:r w:rsidR="004A104E">
        <w:t xml:space="preserve"> (см. )</w:t>
      </w:r>
    </w:p>
    <w:p w:rsidR="00332947" w:rsidRPr="00332947" w:rsidRDefault="00332947" w:rsidP="00332947">
      <w:r>
        <w:t>Средства индивидуальной защиты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8353"/>
        <w:gridCol w:w="1275"/>
      </w:tblGrid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lastRenderedPageBreak/>
              <w:t xml:space="preserve">Средства защиты рук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1,5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 xml:space="preserve">Средства защиты ног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2,0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Респираторы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4,0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Противогазы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7,0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Спецодежда, нарушающая тепло-влагообмен тела человека, изолирующая металлизированная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10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3</w:t>
        </w:r>
      </w:fldSimple>
      <w:r>
        <w:rPr>
          <w:lang w:val="en-US"/>
        </w:rPr>
        <w:t xml:space="preserve">. </w:t>
      </w:r>
      <w:r w:rsidR="00332947">
        <w:t>Искусственное освещение помещений</w:t>
      </w:r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4</w:t>
        </w:r>
      </w:fldSimple>
      <w:r>
        <w:rPr>
          <w:lang w:val="en-US"/>
        </w:rPr>
        <w:t xml:space="preserve">. </w:t>
      </w:r>
      <w:r w:rsidR="00332947">
        <w:t>Максимально простая конструкция</w:t>
      </w:r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A221E1" wp14:editId="58FA812A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5</w:t>
        </w:r>
      </w:fldSimple>
      <w:r>
        <w:rPr>
          <w:lang w:val="en-US"/>
        </w:rPr>
        <w:t xml:space="preserve">. </w:t>
      </w:r>
      <w:r w:rsidR="00332947">
        <w:t>Конвейер механической сборки изделий</w:t>
      </w:r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336DC7">
      <w:pPr>
        <w:pStyle w:val="1"/>
      </w:pPr>
      <w:r w:rsidRPr="00D046E6">
        <w:t>Требования к вентиляции</w:t>
      </w:r>
    </w:p>
    <w:p w:rsidR="003D095B" w:rsidRDefault="005032C2" w:rsidP="00336DC7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336DC7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нтилятор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6</w:t>
        </w:r>
      </w:fldSimple>
      <w:r>
        <w:rPr>
          <w:lang w:val="en-US"/>
        </w:rPr>
        <w:t xml:space="preserve">. </w:t>
      </w:r>
      <w:r w:rsidR="00332947">
        <w:t>Вентиляция помещений</w:t>
      </w:r>
    </w:p>
    <w:p w:rsidR="003D095B" w:rsidRDefault="005032C2" w:rsidP="00336DC7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м/сек, независимо от конструкции воздухоприемников.</w:t>
      </w:r>
    </w:p>
    <w:p w:rsidR="003D095B" w:rsidRDefault="005032C2" w:rsidP="00336DC7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336DC7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336DC7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 xml:space="preserve">очищаться от флюса, </w:t>
      </w:r>
      <w:r w:rsidR="00332947" w:rsidRPr="008877FC">
        <w:t>загрязнённого</w:t>
      </w:r>
      <w:r w:rsidRPr="008877FC">
        <w:t xml:space="preserve"> свинца.</w:t>
      </w:r>
    </w:p>
    <w:p w:rsidR="003D095B" w:rsidRDefault="005032C2" w:rsidP="00336DC7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-questions-to-get-to-know-someone-deeply-2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7</w:t>
        </w:r>
      </w:fldSimple>
      <w:r>
        <w:rPr>
          <w:lang w:val="en-US"/>
        </w:rPr>
        <w:t xml:space="preserve">. </w:t>
      </w:r>
      <w:r w:rsidR="00332947">
        <w:t>Электросеть</w:t>
      </w:r>
    </w:p>
    <w:p w:rsidR="003D095B" w:rsidRDefault="005032C2" w:rsidP="00336DC7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336DC7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336DC7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</w:t>
      </w:r>
      <w:r w:rsidR="00403DF3">
        <w:t>,</w:t>
      </w:r>
      <w:r w:rsidRPr="008877FC">
        <w:t xml:space="preserve"> в количестве</w:t>
      </w:r>
      <w:r w:rsidR="00E21529">
        <w:t>,</w:t>
      </w:r>
      <w:r w:rsidRPr="008877FC">
        <w:t xml:space="preserve"> составляющем, примерно, 90% объема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336DC7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  <w:r w:rsidR="004A104E">
        <w:t xml:space="preserve"> (см. )</w:t>
      </w:r>
    </w:p>
    <w:p w:rsidR="00332947" w:rsidRPr="00332947" w:rsidRDefault="003527DC" w:rsidP="00A67AE1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3527DC">
        <w:t xml:space="preserve">. </w:t>
      </w:r>
      <w:r w:rsidR="00332947" w:rsidRPr="005629CB">
        <w:rPr>
          <w:sz w:val="20"/>
        </w:rPr>
        <w:t>Показател</w:t>
      </w:r>
      <w:r w:rsidR="00332947">
        <w:rPr>
          <w:sz w:val="20"/>
        </w:rPr>
        <w:t>и</w:t>
      </w:r>
      <w:r w:rsidR="00332947" w:rsidRPr="005629CB">
        <w:rPr>
          <w:sz w:val="20"/>
        </w:rPr>
        <w:t>, определяющий категорию СИЗ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69"/>
        <w:gridCol w:w="2357"/>
        <w:gridCol w:w="1864"/>
        <w:gridCol w:w="2428"/>
        <w:gridCol w:w="2010"/>
      </w:tblGrid>
      <w:tr w:rsidR="005629CB" w:rsidRPr="005629CB" w:rsidTr="005629CB">
        <w:tc>
          <w:tcPr>
            <w:tcW w:w="969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СИЗ</w:t>
            </w:r>
          </w:p>
        </w:tc>
        <w:tc>
          <w:tcPr>
            <w:tcW w:w="2357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Фактор рабочей среды</w:t>
            </w:r>
          </w:p>
        </w:tc>
        <w:tc>
          <w:tcPr>
            <w:tcW w:w="1864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Показатель, определяющий категорию СИЗ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Необходимые защитные свойства СИЗ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 xml:space="preserve">Категории СИЗ </w:t>
            </w:r>
          </w:p>
        </w:tc>
      </w:tr>
      <w:tr w:rsidR="005629CB" w:rsidRPr="005629CB" w:rsidTr="005629CB">
        <w:tc>
          <w:tcPr>
            <w:tcW w:w="969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СИЗ органа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>слуха</w:t>
            </w:r>
          </w:p>
        </w:tc>
        <w:tc>
          <w:tcPr>
            <w:tcW w:w="2357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Шум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 xml:space="preserve">(эквивалентный уровень звука, дБА) </w:t>
            </w:r>
          </w:p>
        </w:tc>
        <w:tc>
          <w:tcPr>
            <w:tcW w:w="1864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Акустическая</w:t>
            </w:r>
          </w:p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эффективность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20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1 (3.1) 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30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2(3.2)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40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2(3.3)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50 дБА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 4)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</w:t>
      </w:r>
      <w:r w:rsidR="004A104E">
        <w:t> </w:t>
      </w:r>
      <w:r w:rsidRPr="008877FC">
        <w:t>245-71.</w:t>
      </w:r>
    </w:p>
    <w:p w:rsidR="003D095B" w:rsidRDefault="005032C2" w:rsidP="00336DC7">
      <w:pPr>
        <w:pStyle w:val="1"/>
      </w:pPr>
      <w:r w:rsidRPr="008877FC">
        <w:t>Требования к санитарно-бытовым, вспомогательным помещениям и к средствам индивидуальной профилактики</w:t>
      </w:r>
    </w:p>
    <w:p w:rsidR="003D095B" w:rsidRDefault="005032C2" w:rsidP="00336DC7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3D095B" w:rsidRDefault="005032C2" w:rsidP="00336DC7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3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73770919_296933322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527DC" w:rsidP="00A67AE1">
      <w:pPr>
        <w:pStyle w:val="af"/>
      </w:pPr>
      <w:r>
        <w:t xml:space="preserve">Рисунок </w:t>
      </w:r>
      <w:fldSimple w:instr=" SEQ Рисунок \* ARABIC ">
        <w:r w:rsidR="00A67AE1">
          <w:rPr>
            <w:noProof/>
          </w:rPr>
          <w:t>8</w:t>
        </w:r>
      </w:fldSimple>
      <w:r w:rsidR="00A67AE1">
        <w:rPr>
          <w:lang w:val="en-US"/>
        </w:rPr>
        <w:t xml:space="preserve">. </w:t>
      </w:r>
      <w:r w:rsidR="00332947">
        <w:t>Хранение вещей</w:t>
      </w:r>
    </w:p>
    <w:p w:rsidR="003D095B" w:rsidRDefault="005032C2" w:rsidP="00336DC7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 xml:space="preserve">е комнаты или места, </w:t>
      </w:r>
      <w:r w:rsidR="00332947" w:rsidRPr="008877FC">
        <w:t>отведённые</w:t>
      </w:r>
      <w:r w:rsidRPr="008877FC">
        <w:t xml:space="preserve"> для курения, комнаты </w:t>
      </w:r>
      <w:r w:rsidR="00332947" w:rsidRPr="008877FC">
        <w:t>приёма</w:t>
      </w:r>
      <w:r w:rsidRPr="008877FC">
        <w:t xml:space="preserve">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3D095B" w:rsidRDefault="005032C2" w:rsidP="00336DC7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 xml:space="preserve">7 для предварительного обмывания рук и легко обмываемые переносные </w:t>
      </w:r>
      <w:r w:rsidR="00332947" w:rsidRPr="008877FC">
        <w:t>ёмкости</w:t>
      </w:r>
      <w:r w:rsidRPr="008877FC">
        <w:t xml:space="preserve"> для обтирочного материала в соответствии с п. 2.5.</w:t>
      </w:r>
    </w:p>
    <w:p w:rsidR="003D095B" w:rsidRDefault="005032C2" w:rsidP="00336DC7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3D095B" w:rsidRDefault="005032C2" w:rsidP="00336DC7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3D095B" w:rsidRDefault="005032C2" w:rsidP="00336DC7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3D095B" w:rsidRDefault="005032C2" w:rsidP="00336DC7">
      <w:pPr>
        <w:pStyle w:val="2"/>
      </w:pPr>
      <w:r w:rsidRPr="008877FC">
        <w:t xml:space="preserve">Вход в помещения для </w:t>
      </w:r>
      <w:r w:rsidR="00332947" w:rsidRPr="008877FC">
        <w:t>приёма</w:t>
      </w:r>
      <w:r w:rsidRPr="008877FC">
        <w:t xml:space="preserve"> пищи, столовые и буфеты в рабочей одежде запрещается.</w:t>
      </w:r>
    </w:p>
    <w:p w:rsidR="003D095B" w:rsidRDefault="005032C2" w:rsidP="00336DC7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3D095B" w:rsidRDefault="00332947" w:rsidP="00336DC7">
      <w:pPr>
        <w:pStyle w:val="2"/>
      </w:pPr>
      <w:r w:rsidRPr="008877FC">
        <w:t>Приём</w:t>
      </w:r>
      <w:r w:rsidR="005032C2" w:rsidRPr="008877FC">
        <w:t xml:space="preserve"> и хранение пищи, питьевой воды, а также курения в помещениях, где производится пайка, запрещается.</w:t>
      </w:r>
    </w:p>
    <w:p w:rsidR="003D095B" w:rsidRDefault="005032C2" w:rsidP="00336DC7">
      <w:pPr>
        <w:pStyle w:val="2"/>
      </w:pPr>
      <w:r w:rsidRPr="008877FC">
        <w:t xml:space="preserve">Перед </w:t>
      </w:r>
      <w:r w:rsidR="00332947" w:rsidRPr="008877FC">
        <w:t>приёмом</w:t>
      </w:r>
      <w:r w:rsidRPr="008877FC">
        <w:t xml:space="preserve"> пищи и курением обязательно мытье рук и полоскание полости рта. У умывальников, независимо от мест их расположения, постоянно должны иметься мыло, </w:t>
      </w:r>
      <w:r w:rsidR="00332947" w:rsidRPr="008877FC">
        <w:t>щётки</w:t>
      </w:r>
      <w:r w:rsidRPr="008877FC">
        <w:t>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032C2" w:rsidRDefault="005032C2" w:rsidP="00336DC7">
      <w:pPr>
        <w:pStyle w:val="2"/>
      </w:pPr>
      <w:r w:rsidRPr="008877FC">
        <w:t xml:space="preserve">После окончания работы показано принятие </w:t>
      </w:r>
      <w:r w:rsidR="00332947" w:rsidRPr="008877FC">
        <w:t>тёплого</w:t>
      </w:r>
      <w:r w:rsidRPr="008877FC">
        <w:t xml:space="preserve"> душа.</w:t>
      </w:r>
    </w:p>
    <w:p w:rsidR="003D095B" w:rsidRDefault="005032C2" w:rsidP="00336DC7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336DC7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336DC7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336DC7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25" cy="18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-XzXzAlTg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A67AE1" w:rsidP="00A67AE1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. </w:t>
      </w:r>
      <w:r w:rsidR="00332947">
        <w:t>Уборка помещений</w:t>
      </w:r>
    </w:p>
    <w:p w:rsidR="003D095B" w:rsidRDefault="005032C2" w:rsidP="00336DC7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336DC7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</w:t>
      </w:r>
      <w:r w:rsidR="00332947" w:rsidRPr="008877FC">
        <w:t>приёма</w:t>
      </w:r>
      <w:r w:rsidRPr="008877FC">
        <w:t xml:space="preserve">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336DC7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sectPr w:rsidR="005032C2" w:rsidSect="003D095B">
      <w:headerReference w:type="default" r:id="rId17"/>
      <w:footerReference w:type="even" r:id="rId18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152" w:rsidRDefault="00806152">
      <w:r>
        <w:separator/>
      </w:r>
    </w:p>
  </w:endnote>
  <w:endnote w:type="continuationSeparator" w:id="0">
    <w:p w:rsidR="00806152" w:rsidRDefault="0080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76A" w:rsidRDefault="005032C2" w:rsidP="006756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8076A" w:rsidRDefault="008061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152" w:rsidRDefault="00806152">
      <w:r>
        <w:separator/>
      </w:r>
    </w:p>
  </w:footnote>
  <w:footnote w:type="continuationSeparator" w:id="0">
    <w:p w:rsidR="00806152" w:rsidRDefault="00806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22616"/>
      <w:docPartObj>
        <w:docPartGallery w:val="Page Numbers (Top of Page)"/>
        <w:docPartUnique/>
      </w:docPartObj>
    </w:sdtPr>
    <w:sdtEndPr/>
    <w:sdtContent>
      <w:p w:rsidR="00831EAA" w:rsidRDefault="00831EAA" w:rsidP="00831E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AE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274D0"/>
    <w:rsid w:val="000419D1"/>
    <w:rsid w:val="00061CA6"/>
    <w:rsid w:val="00072A4F"/>
    <w:rsid w:val="000B304D"/>
    <w:rsid w:val="00116EE8"/>
    <w:rsid w:val="001412AF"/>
    <w:rsid w:val="001B515C"/>
    <w:rsid w:val="001C6A95"/>
    <w:rsid w:val="00332947"/>
    <w:rsid w:val="00336DC7"/>
    <w:rsid w:val="003527DC"/>
    <w:rsid w:val="003642CC"/>
    <w:rsid w:val="003756A8"/>
    <w:rsid w:val="003D095B"/>
    <w:rsid w:val="00403DF3"/>
    <w:rsid w:val="00452272"/>
    <w:rsid w:val="004A104E"/>
    <w:rsid w:val="005032C2"/>
    <w:rsid w:val="005629CB"/>
    <w:rsid w:val="00575499"/>
    <w:rsid w:val="005901A9"/>
    <w:rsid w:val="005C16A3"/>
    <w:rsid w:val="005D011C"/>
    <w:rsid w:val="006274C9"/>
    <w:rsid w:val="00682CFE"/>
    <w:rsid w:val="00690B19"/>
    <w:rsid w:val="006A6EF7"/>
    <w:rsid w:val="0070590B"/>
    <w:rsid w:val="007379AD"/>
    <w:rsid w:val="00783A1D"/>
    <w:rsid w:val="007B565B"/>
    <w:rsid w:val="00806152"/>
    <w:rsid w:val="00831EAA"/>
    <w:rsid w:val="00877400"/>
    <w:rsid w:val="008776AC"/>
    <w:rsid w:val="00892EB0"/>
    <w:rsid w:val="00A67AE1"/>
    <w:rsid w:val="00B23904"/>
    <w:rsid w:val="00BB26E8"/>
    <w:rsid w:val="00BD196D"/>
    <w:rsid w:val="00C029B3"/>
    <w:rsid w:val="00C161E1"/>
    <w:rsid w:val="00C22A8E"/>
    <w:rsid w:val="00C54DAC"/>
    <w:rsid w:val="00C97846"/>
    <w:rsid w:val="00D05441"/>
    <w:rsid w:val="00E139D3"/>
    <w:rsid w:val="00E16F1B"/>
    <w:rsid w:val="00E21529"/>
    <w:rsid w:val="00FA160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B1E4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EA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40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6E8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6274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4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27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27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27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74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74C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7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21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2152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2152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21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21529"/>
    <w:rPr>
      <w:b/>
      <w:bCs/>
      <w:sz w:val="20"/>
      <w:szCs w:val="20"/>
    </w:rPr>
  </w:style>
  <w:style w:type="paragraph" w:styleId="ab">
    <w:name w:val="caption"/>
    <w:basedOn w:val="a"/>
    <w:next w:val="a"/>
    <w:link w:val="ac"/>
    <w:uiPriority w:val="35"/>
    <w:unhideWhenUsed/>
    <w:qFormat/>
    <w:rsid w:val="003527DC"/>
    <w:pPr>
      <w:spacing w:after="120"/>
    </w:pPr>
    <w:rPr>
      <w:b/>
      <w:iCs/>
      <w:color w:val="000000" w:themeColor="text1"/>
    </w:rPr>
  </w:style>
  <w:style w:type="paragraph" w:customStyle="1" w:styleId="ad">
    <w:name w:val="_Название_таблицы"/>
    <w:basedOn w:val="ab"/>
    <w:link w:val="ae"/>
    <w:qFormat/>
    <w:rsid w:val="00A67AE1"/>
  </w:style>
  <w:style w:type="paragraph" w:customStyle="1" w:styleId="af">
    <w:name w:val="_Название_рисунка"/>
    <w:basedOn w:val="ab"/>
    <w:link w:val="af0"/>
    <w:qFormat/>
    <w:rsid w:val="00A67AE1"/>
    <w:pPr>
      <w:jc w:val="center"/>
    </w:pPr>
  </w:style>
  <w:style w:type="character" w:customStyle="1" w:styleId="ac">
    <w:name w:val="Название объекта Знак"/>
    <w:basedOn w:val="a0"/>
    <w:link w:val="ab"/>
    <w:uiPriority w:val="35"/>
    <w:rsid w:val="00A67AE1"/>
    <w:rPr>
      <w:b/>
      <w:iCs/>
      <w:color w:val="000000" w:themeColor="text1"/>
    </w:rPr>
  </w:style>
  <w:style w:type="character" w:customStyle="1" w:styleId="ae">
    <w:name w:val="_Название_таблицы Знак"/>
    <w:basedOn w:val="ac"/>
    <w:link w:val="ad"/>
    <w:rsid w:val="00A67AE1"/>
    <w:rPr>
      <w:b/>
      <w:iCs/>
      <w:color w:val="000000" w:themeColor="text1"/>
    </w:rPr>
  </w:style>
  <w:style w:type="character" w:customStyle="1" w:styleId="af0">
    <w:name w:val="_Название_рисунка Знак"/>
    <w:basedOn w:val="ac"/>
    <w:link w:val="af"/>
    <w:rsid w:val="00A67AE1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F2DB-7054-453A-9A14-8176E4D0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Антонов Дмитрий</cp:lastModifiedBy>
  <cp:revision>2</cp:revision>
  <dcterms:created xsi:type="dcterms:W3CDTF">2022-11-10T15:42:00Z</dcterms:created>
  <dcterms:modified xsi:type="dcterms:W3CDTF">2022-11-10T15:42:00Z</dcterms:modified>
</cp:coreProperties>
</file>