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18" w:rsidRDefault="00A75218" w:rsidP="002E4FC8">
      <w:pPr>
        <w:pStyle w:val="a3"/>
      </w:pPr>
      <w:r w:rsidRPr="00EA097E">
        <w:t>Степень необходимого планирования для различных видов практики может быть различной. Для того, чтобы облегчить процесс определения необходимой степени планирования проведено разделение видов практики на пять категорий радиационной угрозы.</w:t>
      </w:r>
    </w:p>
    <w:p w:rsidR="00A75218" w:rsidRDefault="00A75218" w:rsidP="00A75218">
      <w:pPr>
        <w:pStyle w:val="a9"/>
        <w:rPr>
          <w:snapToGrid w:val="0"/>
          <w:lang w:eastAsia="ru-RU"/>
        </w:rPr>
      </w:pPr>
      <w:bookmarkStart w:id="0" w:name="_Ref492977212"/>
      <w:bookmarkStart w:id="1" w:name="_Ref492977207"/>
      <w:r>
        <w:t xml:space="preserve">Таблица </w:t>
      </w:r>
      <w:r>
        <w:rPr>
          <w:noProof/>
        </w:rPr>
        <w:t>6</w:t>
      </w:r>
      <w:r>
        <w:noBreakHyphen/>
      </w:r>
      <w:r>
        <w:rPr>
          <w:noProof/>
        </w:rPr>
        <w:t>3</w:t>
      </w:r>
      <w:bookmarkEnd w:id="0"/>
      <w:r>
        <w:t xml:space="preserve">. </w:t>
      </w:r>
      <w:r w:rsidRPr="000462A0">
        <w:t>Требования для учета категорий угроз</w:t>
      </w:r>
      <w:bookmarkEnd w:id="1"/>
    </w:p>
    <w:tbl>
      <w:tblPr>
        <w:tblStyle w:val="31"/>
        <w:tblW w:w="3825" w:type="pct"/>
        <w:tblLayout w:type="fixed"/>
        <w:tblLook w:val="04A0" w:firstRow="1" w:lastRow="0" w:firstColumn="1" w:lastColumn="0" w:noHBand="0" w:noVBand="1"/>
      </w:tblPr>
      <w:tblGrid>
        <w:gridCol w:w="1395"/>
        <w:gridCol w:w="5970"/>
      </w:tblGrid>
      <w:tr w:rsidR="00CD4F48" w:rsidRPr="000462A0" w:rsidTr="00B9067F">
        <w:trPr>
          <w:cantSplit/>
          <w:tblHeader/>
        </w:trPr>
        <w:tc>
          <w:tcPr>
            <w:tcW w:w="1395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 w:rsidRPr="000462A0">
              <w:rPr>
                <w:b/>
                <w:bCs/>
                <w:snapToGrid w:val="0"/>
                <w:lang w:eastAsia="ru-RU"/>
              </w:rPr>
              <w:t>Категория угрозы</w:t>
            </w:r>
          </w:p>
        </w:tc>
        <w:tc>
          <w:tcPr>
            <w:tcW w:w="5970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 w:rsidRPr="000462A0">
              <w:rPr>
                <w:b/>
                <w:bCs/>
                <w:snapToGrid w:val="0"/>
                <w:lang w:eastAsia="ru-RU"/>
              </w:rPr>
              <w:t>Радиационная угроза</w:t>
            </w:r>
          </w:p>
        </w:tc>
      </w:tr>
      <w:tr w:rsidR="00CD4F48" w:rsidRPr="000462A0" w:rsidTr="00B9067F">
        <w:trPr>
          <w:cantSplit/>
        </w:trPr>
        <w:tc>
          <w:tcPr>
            <w:tcW w:w="1395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 w:rsidRPr="000462A0">
              <w:rPr>
                <w:b/>
                <w:bCs/>
                <w:snapToGrid w:val="0"/>
                <w:lang w:val="en-US" w:eastAsia="ru-RU"/>
              </w:rPr>
              <w:t>I</w:t>
            </w:r>
          </w:p>
        </w:tc>
        <w:tc>
          <w:tcPr>
            <w:tcW w:w="5970" w:type="dxa"/>
            <w:hideMark/>
          </w:tcPr>
          <w:p w:rsidR="00CD4F48" w:rsidRPr="000462A0" w:rsidRDefault="00B9067F" w:rsidP="002F63FA">
            <w:pPr>
              <w:rPr>
                <w:snapToGrid w:val="0"/>
                <w:lang w:eastAsia="ru-RU"/>
              </w:rPr>
            </w:pPr>
            <w:bookmarkStart w:id="2" w:name="_GoBack"/>
            <w:bookmarkEnd w:id="2"/>
            <w:r w:rsidRPr="000462A0">
              <w:rPr>
                <w:snapToGrid w:val="0"/>
                <w:lang w:eastAsia="ru-RU"/>
              </w:rPr>
              <w:t xml:space="preserve">Детерминированные </w:t>
            </w:r>
            <w:r w:rsidR="00CD4F48" w:rsidRPr="000462A0">
              <w:rPr>
                <w:snapToGrid w:val="0"/>
                <w:lang w:eastAsia="ru-RU"/>
              </w:rPr>
              <w:t>эффекты за пределами площадки</w:t>
            </w:r>
          </w:p>
        </w:tc>
      </w:tr>
      <w:tr w:rsidR="00CD4F48" w:rsidRPr="000462A0" w:rsidTr="00B9067F">
        <w:trPr>
          <w:cantSplit/>
        </w:trPr>
        <w:tc>
          <w:tcPr>
            <w:tcW w:w="1395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 w:rsidRPr="000462A0">
              <w:rPr>
                <w:b/>
                <w:bCs/>
                <w:snapToGrid w:val="0"/>
                <w:lang w:val="en-US" w:eastAsia="ru-RU"/>
              </w:rPr>
              <w:t>II</w:t>
            </w:r>
          </w:p>
        </w:tc>
        <w:tc>
          <w:tcPr>
            <w:tcW w:w="5970" w:type="dxa"/>
            <w:hideMark/>
          </w:tcPr>
          <w:p w:rsidR="00CD4F48" w:rsidRPr="000462A0" w:rsidRDefault="00C479CB" w:rsidP="002F63FA">
            <w:pPr>
              <w:rPr>
                <w:snapToGrid w:val="0"/>
                <w:lang w:eastAsia="ru-RU"/>
              </w:rPr>
            </w:pPr>
            <w:r w:rsidRPr="000462A0">
              <w:rPr>
                <w:snapToGrid w:val="0"/>
                <w:lang w:eastAsia="ru-RU"/>
              </w:rPr>
              <w:t xml:space="preserve">Детерминированные </w:t>
            </w:r>
            <w:r w:rsidR="00CD4F48" w:rsidRPr="000462A0">
              <w:rPr>
                <w:snapToGrid w:val="0"/>
                <w:lang w:eastAsia="ru-RU"/>
              </w:rPr>
              <w:t>эффекты на площадке</w:t>
            </w:r>
          </w:p>
        </w:tc>
      </w:tr>
      <w:tr w:rsidR="00CD4F48" w:rsidRPr="000462A0" w:rsidTr="00B9067F">
        <w:trPr>
          <w:cantSplit/>
        </w:trPr>
        <w:tc>
          <w:tcPr>
            <w:tcW w:w="1395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 w:rsidRPr="000462A0">
              <w:rPr>
                <w:b/>
                <w:bCs/>
                <w:snapToGrid w:val="0"/>
                <w:lang w:val="en-US" w:eastAsia="ru-RU"/>
              </w:rPr>
              <w:t>III</w:t>
            </w:r>
          </w:p>
        </w:tc>
        <w:tc>
          <w:tcPr>
            <w:tcW w:w="5970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 w:rsidRPr="000462A0">
              <w:rPr>
                <w:snapToGrid w:val="0"/>
                <w:lang w:eastAsia="ru-RU"/>
              </w:rPr>
              <w:t>Серьезные детерминированные эффекты на площадке</w:t>
            </w:r>
          </w:p>
        </w:tc>
      </w:tr>
      <w:tr w:rsidR="00CD4F48" w:rsidRPr="000462A0" w:rsidTr="00B9067F">
        <w:trPr>
          <w:cantSplit/>
        </w:trPr>
        <w:tc>
          <w:tcPr>
            <w:tcW w:w="1395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 w:rsidRPr="000462A0">
              <w:rPr>
                <w:b/>
                <w:bCs/>
                <w:snapToGrid w:val="0"/>
                <w:lang w:val="en-US" w:eastAsia="ru-RU"/>
              </w:rPr>
              <w:t>IV</w:t>
            </w:r>
          </w:p>
        </w:tc>
        <w:tc>
          <w:tcPr>
            <w:tcW w:w="5970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>
              <w:rPr>
                <w:snapToGrid w:val="0"/>
                <w:lang w:eastAsia="ru-RU"/>
              </w:rPr>
              <w:t>М</w:t>
            </w:r>
            <w:r w:rsidRPr="000462A0">
              <w:rPr>
                <w:snapToGrid w:val="0"/>
                <w:lang w:eastAsia="ru-RU"/>
              </w:rPr>
              <w:t>инимальный уровень угрозы – для всех стран</w:t>
            </w:r>
          </w:p>
        </w:tc>
      </w:tr>
      <w:tr w:rsidR="00CD4F48" w:rsidRPr="000462A0" w:rsidTr="00B9067F">
        <w:trPr>
          <w:cantSplit/>
        </w:trPr>
        <w:tc>
          <w:tcPr>
            <w:tcW w:w="1395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 w:rsidRPr="000462A0">
              <w:rPr>
                <w:b/>
                <w:bCs/>
                <w:snapToGrid w:val="0"/>
                <w:lang w:val="en-US" w:eastAsia="ru-RU"/>
              </w:rPr>
              <w:t>V</w:t>
            </w:r>
          </w:p>
        </w:tc>
        <w:tc>
          <w:tcPr>
            <w:tcW w:w="5970" w:type="dxa"/>
            <w:hideMark/>
          </w:tcPr>
          <w:p w:rsidR="00CD4F48" w:rsidRPr="000462A0" w:rsidRDefault="00CD4F48" w:rsidP="002F63FA">
            <w:pPr>
              <w:rPr>
                <w:snapToGrid w:val="0"/>
                <w:lang w:eastAsia="ru-RU"/>
              </w:rPr>
            </w:pPr>
            <w:r w:rsidRPr="000462A0">
              <w:rPr>
                <w:snapToGrid w:val="0"/>
                <w:lang w:eastAsia="ru-RU"/>
              </w:rPr>
              <w:t>Требуется ограничение потребления продуктов питания</w:t>
            </w:r>
          </w:p>
        </w:tc>
      </w:tr>
    </w:tbl>
    <w:p w:rsidR="00C479CB" w:rsidRDefault="00CD4F48" w:rsidP="00CD4F48">
      <w:pPr>
        <w:pStyle w:val="a3"/>
        <w:spacing w:before="120"/>
      </w:pPr>
      <w:r w:rsidRPr="00EA097E">
        <w:t xml:space="preserve">Эти пять категорий угроз, приведенные в таблице </w:t>
      </w:r>
      <w:r>
        <w:t xml:space="preserve">(см. </w:t>
      </w:r>
      <w:r>
        <w:fldChar w:fldCharType="begin"/>
      </w:r>
      <w:r>
        <w:instrText xml:space="preserve"> REF _Ref492977212 \h </w:instrText>
      </w:r>
      <w:r>
        <w:fldChar w:fldCharType="separate"/>
      </w:r>
      <w:r>
        <w:t xml:space="preserve">Таблица </w:t>
      </w:r>
      <w:r>
        <w:rPr>
          <w:noProof/>
        </w:rPr>
        <w:t>6</w:t>
      </w:r>
      <w:r>
        <w:noBreakHyphen/>
      </w:r>
      <w:r>
        <w:rPr>
          <w:noProof/>
        </w:rPr>
        <w:t>3</w:t>
      </w:r>
      <w:r>
        <w:fldChar w:fldCharType="end"/>
      </w:r>
      <w:r>
        <w:t>)</w:t>
      </w:r>
      <w:r w:rsidRPr="00EA097E">
        <w:t xml:space="preserve">, устанавливают основу для разработки в целом оптимизированных мер по обеспечению готовности и реагирования. </w:t>
      </w:r>
    </w:p>
    <w:p w:rsidR="00C479CB" w:rsidRDefault="00CD4F48" w:rsidP="00CD4F48">
      <w:pPr>
        <w:pStyle w:val="a3"/>
        <w:spacing w:before="120"/>
      </w:pPr>
      <w:r w:rsidRPr="00EA097E">
        <w:t xml:space="preserve">Категории угроз I, II и III представляют уменьшающиеся уровни угроз на установках с соответствующей жесткостью требований, предъявляемых к мерам готовности и реагирования. </w:t>
      </w:r>
    </w:p>
    <w:p w:rsidR="00C479CB" w:rsidRDefault="00CD4F48" w:rsidP="00CD4F48">
      <w:pPr>
        <w:pStyle w:val="a3"/>
        <w:spacing w:before="120"/>
      </w:pPr>
      <w:r w:rsidRPr="00EA097E">
        <w:t xml:space="preserve">Категория угрозы IV применяется к деятельности, которая может привести к аварийным ситуациям фактически в любом месте; это – также минимальный уровень угрозы, допускаемый для применения в отношении всех государств и юрисдикций. </w:t>
      </w:r>
    </w:p>
    <w:p w:rsidR="00C479CB" w:rsidRDefault="00CD4F48" w:rsidP="00CD4F48">
      <w:pPr>
        <w:pStyle w:val="a3"/>
        <w:spacing w:before="120"/>
      </w:pPr>
      <w:r w:rsidRPr="00EA097E">
        <w:t xml:space="preserve">Категория угрозы IV всегда применяется ко всем юрисдикциям, возможно, вместе с угрозами других категорий. </w:t>
      </w:r>
    </w:p>
    <w:p w:rsidR="00CD4F48" w:rsidRPr="00EA097E" w:rsidRDefault="00CD4F48" w:rsidP="00CD4F48">
      <w:pPr>
        <w:pStyle w:val="a3"/>
        <w:spacing w:before="120"/>
      </w:pPr>
      <w:r w:rsidRPr="00EA097E">
        <w:t>Категория угрозы V применяется к территориям за пределами площадки, в которых меры по обеспечению готовности и реагирования требуются для борьбы с радиоактивным загрязнением, являющимся результатом выброса радиоактивного материала с установки, относящейся к категории угрозы I или II.</w:t>
      </w:r>
    </w:p>
    <w:p w:rsidR="003F5BCE" w:rsidRDefault="003F5BCE" w:rsidP="00A75218"/>
    <w:sectPr w:rsidR="003F5BCE" w:rsidSect="00386A55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1782"/>
    <w:multiLevelType w:val="multilevel"/>
    <w:tmpl w:val="B72CB882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7"/>
        </w:tabs>
        <w:ind w:left="0" w:firstLine="56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45"/>
    <w:rsid w:val="00047CF9"/>
    <w:rsid w:val="00050002"/>
    <w:rsid w:val="000F457A"/>
    <w:rsid w:val="002E4FC8"/>
    <w:rsid w:val="002F63FA"/>
    <w:rsid w:val="00386A55"/>
    <w:rsid w:val="003F5BCE"/>
    <w:rsid w:val="00456E1B"/>
    <w:rsid w:val="0045728B"/>
    <w:rsid w:val="004D403D"/>
    <w:rsid w:val="00626C45"/>
    <w:rsid w:val="008B0A55"/>
    <w:rsid w:val="00963DF6"/>
    <w:rsid w:val="009B6286"/>
    <w:rsid w:val="009E174A"/>
    <w:rsid w:val="00A00823"/>
    <w:rsid w:val="00A5102A"/>
    <w:rsid w:val="00A723CA"/>
    <w:rsid w:val="00A75218"/>
    <w:rsid w:val="00B9067F"/>
    <w:rsid w:val="00BE558E"/>
    <w:rsid w:val="00C479CB"/>
    <w:rsid w:val="00CD4F48"/>
    <w:rsid w:val="00D24168"/>
    <w:rsid w:val="00D77803"/>
    <w:rsid w:val="00E62394"/>
    <w:rsid w:val="00EC3A1F"/>
    <w:rsid w:val="00EF2877"/>
    <w:rsid w:val="00F4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E23C"/>
  <w15:chartTrackingRefBased/>
  <w15:docId w15:val="{B5CEB967-4DBF-4C7E-8BFC-0AB232D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E4FC8"/>
    <w:pPr>
      <w:jc w:val="left"/>
    </w:pPr>
    <w:rPr>
      <w:rFonts w:ascii="Times New Roman" w:eastAsia="Calibri" w:hAnsi="Times New Roman" w:cs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6E1B"/>
    <w:pPr>
      <w:keepNext/>
      <w:keepLines/>
      <w:numPr>
        <w:numId w:val="9"/>
      </w:numPr>
      <w:spacing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E1B"/>
    <w:pPr>
      <w:keepNext/>
      <w:keepLines/>
      <w:numPr>
        <w:ilvl w:val="1"/>
        <w:numId w:val="9"/>
      </w:numPr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E1B"/>
    <w:pPr>
      <w:keepNext/>
      <w:keepLines/>
      <w:numPr>
        <w:ilvl w:val="2"/>
        <w:numId w:val="9"/>
      </w:numPr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E1B"/>
    <w:pPr>
      <w:keepNext/>
      <w:keepLines/>
      <w:numPr>
        <w:ilvl w:val="3"/>
        <w:numId w:val="9"/>
      </w:numPr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E1B"/>
    <w:pPr>
      <w:keepNext/>
      <w:keepLines/>
      <w:numPr>
        <w:ilvl w:val="4"/>
        <w:numId w:val="9"/>
      </w:numPr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E1B"/>
    <w:pPr>
      <w:keepNext/>
      <w:keepLines/>
      <w:numPr>
        <w:ilvl w:val="5"/>
        <w:numId w:val="9"/>
      </w:numPr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E1B"/>
    <w:pPr>
      <w:keepNext/>
      <w:keepLines/>
      <w:numPr>
        <w:ilvl w:val="6"/>
        <w:numId w:val="9"/>
      </w:numPr>
      <w:spacing w:before="12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E1B"/>
    <w:pPr>
      <w:keepNext/>
      <w:keepLines/>
      <w:numPr>
        <w:ilvl w:val="7"/>
        <w:numId w:val="9"/>
      </w:numPr>
      <w:spacing w:before="12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E1B"/>
    <w:pPr>
      <w:keepNext/>
      <w:keepLines/>
      <w:numPr>
        <w:ilvl w:val="8"/>
        <w:numId w:val="1"/>
      </w:numPr>
      <w:spacing w:before="12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  <w:rsid w:val="008B0A55"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B0A55"/>
  </w:style>
  <w:style w:type="character" w:customStyle="1" w:styleId="10">
    <w:name w:val="Заголовок 1 Знак"/>
    <w:basedOn w:val="a0"/>
    <w:link w:val="1"/>
    <w:uiPriority w:val="9"/>
    <w:rsid w:val="00456E1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56E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56E1B"/>
    <w:rPr>
      <w:rFonts w:asciiTheme="majorHAnsi" w:eastAsiaTheme="majorEastAsia" w:hAnsiTheme="majorHAnsi" w:cstheme="majorBidi"/>
      <w:spacing w:val="4"/>
    </w:rPr>
  </w:style>
  <w:style w:type="character" w:customStyle="1" w:styleId="40">
    <w:name w:val="Заголовок 4 Знак"/>
    <w:basedOn w:val="a0"/>
    <w:link w:val="4"/>
    <w:uiPriority w:val="9"/>
    <w:semiHidden/>
    <w:rsid w:val="00456E1B"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56E1B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456E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456E1B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56E1B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456E1B"/>
    <w:rPr>
      <w:i/>
      <w:iCs/>
    </w:rPr>
  </w:style>
  <w:style w:type="paragraph" w:customStyle="1" w:styleId="a3">
    <w:name w:val="Основной"/>
    <w:basedOn w:val="a"/>
    <w:link w:val="a4"/>
    <w:uiPriority w:val="1"/>
    <w:qFormat/>
    <w:rsid w:val="002E4FC8"/>
    <w:pPr>
      <w:spacing w:after="120"/>
      <w:ind w:firstLine="567"/>
      <w:jc w:val="both"/>
    </w:pPr>
    <w:rPr>
      <w:snapToGrid w:val="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B0A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B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2E4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Знак"/>
    <w:basedOn w:val="a0"/>
    <w:link w:val="a3"/>
    <w:uiPriority w:val="1"/>
    <w:rsid w:val="002E4FC8"/>
    <w:rPr>
      <w:rFonts w:ascii="Times New Roman" w:eastAsia="Calibri" w:hAnsi="Times New Roman" w:cs="Times New Roman"/>
      <w:snapToGrid w:val="0"/>
      <w:szCs w:val="22"/>
      <w:lang w:eastAsia="ru-RU"/>
    </w:rPr>
  </w:style>
  <w:style w:type="table" w:customStyle="1" w:styleId="31">
    <w:name w:val="Сетка таблицы3"/>
    <w:basedOn w:val="a1"/>
    <w:rsid w:val="00CD4F48"/>
    <w:pPr>
      <w:jc w:val="left"/>
    </w:pPr>
    <w:rPr>
      <w:rFonts w:ascii="Times New Roman" w:eastAsia="Times New Roman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vAlign w:val="center"/>
    </w:tcPr>
  </w:style>
  <w:style w:type="paragraph" w:styleId="a8">
    <w:name w:val="TOC Heading"/>
    <w:basedOn w:val="1"/>
    <w:next w:val="a"/>
    <w:uiPriority w:val="39"/>
    <w:semiHidden/>
    <w:unhideWhenUsed/>
    <w:qFormat/>
    <w:rsid w:val="008B0A55"/>
    <w:pPr>
      <w:numPr>
        <w:numId w:val="0"/>
      </w:numPr>
      <w:spacing w:before="240" w:after="0"/>
      <w:outlineLvl w:val="9"/>
    </w:pPr>
    <w:rPr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customStyle="1" w:styleId="a9">
    <w:name w:val="Название таблицы"/>
    <w:basedOn w:val="a"/>
    <w:uiPriority w:val="5"/>
    <w:qFormat/>
    <w:rsid w:val="002E4FC8"/>
    <w:pPr>
      <w:keepNext/>
      <w:spacing w:before="120" w:after="120"/>
    </w:pPr>
    <w:rPr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Мой набор шриф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6</cp:revision>
  <dcterms:created xsi:type="dcterms:W3CDTF">2020-02-14T08:15:00Z</dcterms:created>
  <dcterms:modified xsi:type="dcterms:W3CDTF">2020-02-14T08:29:00Z</dcterms:modified>
</cp:coreProperties>
</file>