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0F701" w14:textId="77777777" w:rsidR="00CD5053" w:rsidRDefault="00CD5053" w:rsidP="00CD5053">
      <w:r>
        <w:t>1</w:t>
      </w:r>
      <w:r>
        <w:tab/>
        <w:t>Ввод и организация эксплуатации АС с ВВЭР</w:t>
      </w:r>
      <w:r>
        <w:tab/>
        <w:t>7</w:t>
      </w:r>
    </w:p>
    <w:p w14:paraId="4350CFCF" w14:textId="77777777" w:rsidR="00CD5053" w:rsidRDefault="00CD5053" w:rsidP="00CD5053">
      <w:r>
        <w:t>1.1</w:t>
      </w:r>
      <w:r>
        <w:tab/>
        <w:t>Ввод в эксплуатацию АС с ВВЭР</w:t>
      </w:r>
      <w:r>
        <w:tab/>
        <w:t>7</w:t>
      </w:r>
    </w:p>
    <w:p w14:paraId="0E410800" w14:textId="77777777" w:rsidR="00CD5053" w:rsidRDefault="00CD5053" w:rsidP="00CD5053">
      <w:r>
        <w:t>1.1.1</w:t>
      </w:r>
      <w:r>
        <w:tab/>
        <w:t>Объем и последовательность пусконаладочных работ</w:t>
      </w:r>
      <w:r>
        <w:tab/>
        <w:t>7</w:t>
      </w:r>
    </w:p>
    <w:p w14:paraId="6FDCACA2" w14:textId="77777777" w:rsidR="00CD5053" w:rsidRDefault="00CD5053" w:rsidP="00CD5053">
      <w:r>
        <w:t>1.1.2</w:t>
      </w:r>
      <w:r>
        <w:tab/>
        <w:t>Выполнение ПНР на системах и оборудовании</w:t>
      </w:r>
      <w:r>
        <w:tab/>
        <w:t>11</w:t>
      </w:r>
    </w:p>
    <w:p w14:paraId="7FD7AB5F" w14:textId="77777777" w:rsidR="00CD5053" w:rsidRDefault="00CD5053" w:rsidP="00CD5053">
      <w:r>
        <w:t>1.2</w:t>
      </w:r>
      <w:r>
        <w:tab/>
        <w:t>Нормативные документы по проведению пусконаладочных работ на АЭС с ВВЭР</w:t>
      </w:r>
      <w:r>
        <w:tab/>
        <w:t>18</w:t>
      </w:r>
    </w:p>
    <w:p w14:paraId="0FD66AB4" w14:textId="77777777" w:rsidR="00CD5053" w:rsidRDefault="00CD5053" w:rsidP="00CD5053">
      <w:r>
        <w:t>1.2.1</w:t>
      </w:r>
      <w:r>
        <w:tab/>
        <w:t>Основные нормативные требования по обеспечению безопасности при вводе блока в эксплуатацию</w:t>
      </w:r>
      <w:r>
        <w:tab/>
        <w:t>18</w:t>
      </w:r>
    </w:p>
    <w:p w14:paraId="2FC8335D" w14:textId="77777777" w:rsidR="00CD5053" w:rsidRDefault="00CD5053" w:rsidP="00CD5053">
      <w:r>
        <w:t>1.2.2</w:t>
      </w:r>
      <w:r>
        <w:tab/>
        <w:t>Контроль качества выполнения пусконаладочных работ</w:t>
      </w:r>
      <w:r>
        <w:tab/>
        <w:t>22</w:t>
      </w:r>
    </w:p>
    <w:p w14:paraId="2E674490" w14:textId="77777777" w:rsidR="00CD5053" w:rsidRDefault="00CD5053" w:rsidP="00CD5053">
      <w:r>
        <w:t>1.2.3</w:t>
      </w:r>
      <w:r>
        <w:tab/>
        <w:t>Проверка готовности блоков АЭС к этапам «Физический пуск» и «Энергетический пуск»</w:t>
      </w:r>
      <w:r>
        <w:tab/>
      </w:r>
      <w:r>
        <w:tab/>
        <w:t>26</w:t>
      </w:r>
    </w:p>
    <w:p w14:paraId="4ABE109E" w14:textId="77777777" w:rsidR="00CD5053" w:rsidRDefault="00CD5053" w:rsidP="00CD5053">
      <w:r>
        <w:t>2</w:t>
      </w:r>
      <w:r>
        <w:tab/>
        <w:t>Ядерная безопасность</w:t>
      </w:r>
      <w:r>
        <w:tab/>
        <w:t>35</w:t>
      </w:r>
    </w:p>
    <w:p w14:paraId="78906219" w14:textId="77777777" w:rsidR="00CD5053" w:rsidRDefault="00CD5053" w:rsidP="00CD5053">
      <w:r>
        <w:t>2.1</w:t>
      </w:r>
      <w:r>
        <w:tab/>
        <w:t>Физические основы ЯРБ при обращении ЯМ</w:t>
      </w:r>
      <w:r>
        <w:tab/>
        <w:t>35</w:t>
      </w:r>
    </w:p>
    <w:p w14:paraId="56105E14" w14:textId="77777777" w:rsidR="00CD5053" w:rsidRDefault="00CD5053" w:rsidP="00CD5053">
      <w:r>
        <w:t>2.1.1</w:t>
      </w:r>
      <w:r>
        <w:tab/>
        <w:t>Нейтронно-физические процессы в ядерных реакторах</w:t>
      </w:r>
      <w:r>
        <w:tab/>
        <w:t>35</w:t>
      </w:r>
    </w:p>
    <w:p w14:paraId="4CF60EFD" w14:textId="77777777" w:rsidR="00CD5053" w:rsidRDefault="00CD5053" w:rsidP="00CD5053">
      <w:r>
        <w:t>2.1.2</w:t>
      </w:r>
      <w:r>
        <w:tab/>
        <w:t>Динамические процессы в ядерных реакторах</w:t>
      </w:r>
      <w:r>
        <w:tab/>
        <w:t>45</w:t>
      </w:r>
    </w:p>
    <w:p w14:paraId="16A9E511" w14:textId="77777777" w:rsidR="00CD5053" w:rsidRDefault="00CD5053" w:rsidP="00CD5053">
      <w:r>
        <w:t>2.1.3</w:t>
      </w:r>
      <w:r>
        <w:tab/>
        <w:t>Система нормативной документации по ядерной безопасности для РУ</w:t>
      </w:r>
      <w:r>
        <w:tab/>
        <w:t>76</w:t>
      </w:r>
    </w:p>
    <w:p w14:paraId="0EC578E6" w14:textId="77777777" w:rsidR="00CD5053" w:rsidRDefault="00CD5053" w:rsidP="00CD5053">
      <w:r>
        <w:t>2.1.4</w:t>
      </w:r>
      <w:r>
        <w:tab/>
        <w:t>Международные и российские нормативные акты в области безопасности АЭС</w:t>
      </w:r>
      <w:r>
        <w:tab/>
        <w:t>76</w:t>
      </w:r>
    </w:p>
    <w:p w14:paraId="48BBBA1D" w14:textId="77777777" w:rsidR="00CD5053" w:rsidRDefault="00CD5053" w:rsidP="00CD5053">
      <w:r>
        <w:t>2.1.5</w:t>
      </w:r>
      <w:r>
        <w:tab/>
        <w:t>Реализация общепринятых принципов безопасности в проекте ВВЭР</w:t>
      </w:r>
      <w:r>
        <w:tab/>
        <w:t>83</w:t>
      </w:r>
    </w:p>
    <w:p w14:paraId="64DFCAF7" w14:textId="77777777" w:rsidR="00CD5053" w:rsidRDefault="00CD5053" w:rsidP="00CD5053">
      <w:r>
        <w:t>2.1.6</w:t>
      </w:r>
      <w:r>
        <w:tab/>
        <w:t>Перечни и программы ядерно-опасных работ на АЭС</w:t>
      </w:r>
      <w:r>
        <w:tab/>
        <w:t>87</w:t>
      </w:r>
    </w:p>
    <w:p w14:paraId="787A5D2A" w14:textId="77777777" w:rsidR="00CD5053" w:rsidRDefault="00CD5053" w:rsidP="00CD5053">
      <w:r>
        <w:t>2.1.7</w:t>
      </w:r>
      <w:r>
        <w:tab/>
        <w:t>Обращение с ядерным топливом</w:t>
      </w:r>
      <w:r>
        <w:tab/>
        <w:t>88</w:t>
      </w:r>
    </w:p>
    <w:p w14:paraId="095502A1" w14:textId="77777777" w:rsidR="00CD5053" w:rsidRDefault="00CD5053" w:rsidP="00CD5053">
      <w:r>
        <w:t>2.1.8</w:t>
      </w:r>
      <w:r>
        <w:tab/>
        <w:t>Нормативные требования</w:t>
      </w:r>
      <w:r>
        <w:tab/>
        <w:t>89</w:t>
      </w:r>
    </w:p>
    <w:p w14:paraId="1D52A365" w14:textId="77777777" w:rsidR="00CD5053" w:rsidRDefault="00CD5053" w:rsidP="00CD5053">
      <w:r>
        <w:t>2.1.9</w:t>
      </w:r>
      <w:r>
        <w:tab/>
        <w:t xml:space="preserve">Работы со свежим ЯТ </w:t>
      </w:r>
      <w:proofErr w:type="gramStart"/>
      <w:r>
        <w:t>на АС</w:t>
      </w:r>
      <w:proofErr w:type="gramEnd"/>
      <w:r>
        <w:tab/>
        <w:t>96</w:t>
      </w:r>
    </w:p>
    <w:p w14:paraId="0653296B" w14:textId="77777777" w:rsidR="00CD5053" w:rsidRDefault="00CD5053" w:rsidP="00CD5053">
      <w:r>
        <w:t>2.1.10</w:t>
      </w:r>
      <w:r>
        <w:tab/>
        <w:t>Обеспечение ЯБ при загрузке и перегрузке ЯТ на АЭС</w:t>
      </w:r>
      <w:r>
        <w:tab/>
        <w:t>101</w:t>
      </w:r>
    </w:p>
    <w:p w14:paraId="3F68AB8A" w14:textId="77777777" w:rsidR="00CD5053" w:rsidRDefault="00CD5053" w:rsidP="00CD5053">
      <w:r>
        <w:t>2.1.11</w:t>
      </w:r>
      <w:r>
        <w:tab/>
        <w:t>Нормативные требования</w:t>
      </w:r>
      <w:r>
        <w:tab/>
        <w:t>101</w:t>
      </w:r>
    </w:p>
    <w:p w14:paraId="2D89936B" w14:textId="77777777" w:rsidR="00CD5053" w:rsidRDefault="00CD5053" w:rsidP="00CD5053">
      <w:r>
        <w:t>2.1.12</w:t>
      </w:r>
      <w:r>
        <w:tab/>
        <w:t>Обеспечение ЯБ при перегрузке на АЭС</w:t>
      </w:r>
      <w:r>
        <w:tab/>
        <w:t>105</w:t>
      </w:r>
    </w:p>
    <w:p w14:paraId="11E931E3" w14:textId="77777777" w:rsidR="00CD5053" w:rsidRDefault="00CD5053" w:rsidP="00CD5053">
      <w:r>
        <w:t>2.1.13</w:t>
      </w:r>
      <w:r>
        <w:tab/>
        <w:t>Алгоритмы действий персонала при наступлении исходных событий</w:t>
      </w:r>
      <w:r>
        <w:tab/>
        <w:t>111</w:t>
      </w:r>
    </w:p>
    <w:p w14:paraId="3A2B85EA" w14:textId="77777777" w:rsidR="00CD5053" w:rsidRDefault="00CD5053" w:rsidP="00CD5053">
      <w:r>
        <w:t>2.2</w:t>
      </w:r>
      <w:r>
        <w:tab/>
        <w:t>Контроль параметров эксплуатации ЯТ в активной зоне</w:t>
      </w:r>
      <w:r>
        <w:tab/>
        <w:t>123</w:t>
      </w:r>
    </w:p>
    <w:p w14:paraId="32BD418B" w14:textId="77777777" w:rsidR="00CD5053" w:rsidRDefault="00CD5053" w:rsidP="00CD5053">
      <w:r>
        <w:t>2.2.1</w:t>
      </w:r>
      <w:r>
        <w:tab/>
        <w:t>Проведение контроля герметичности оболочек ТВЭЛов на АЭС</w:t>
      </w:r>
      <w:r>
        <w:tab/>
        <w:t>123</w:t>
      </w:r>
    </w:p>
    <w:p w14:paraId="21883BAD" w14:textId="77777777" w:rsidR="00CD5053" w:rsidRDefault="00CD5053" w:rsidP="00CD5053">
      <w:r>
        <w:t>2.2.2</w:t>
      </w:r>
      <w:r>
        <w:tab/>
        <w:t>Обеспечение ЯБ и организация экспериментального определения НФХ активной зоны РУ</w:t>
      </w:r>
      <w:r>
        <w:tab/>
      </w:r>
      <w:r>
        <w:tab/>
        <w:t>133</w:t>
      </w:r>
    </w:p>
    <w:p w14:paraId="02662EF2" w14:textId="77777777" w:rsidR="00CD5053" w:rsidRDefault="00CD5053" w:rsidP="00CD5053">
      <w:r>
        <w:t>2.2.3</w:t>
      </w:r>
      <w:r>
        <w:tab/>
        <w:t>Нормативные требования к проведению измерений НФХ</w:t>
      </w:r>
      <w:r>
        <w:tab/>
        <w:t>133</w:t>
      </w:r>
    </w:p>
    <w:p w14:paraId="2523BE40" w14:textId="77777777" w:rsidR="00CD5053" w:rsidRDefault="00CD5053" w:rsidP="00CD5053">
      <w:r>
        <w:t>2.2.4</w:t>
      </w:r>
      <w:r>
        <w:tab/>
        <w:t>Организация проведения измерений НФХ</w:t>
      </w:r>
      <w:r>
        <w:tab/>
        <w:t>135</w:t>
      </w:r>
    </w:p>
    <w:p w14:paraId="674669E7" w14:textId="77777777" w:rsidR="00F12C76" w:rsidRPr="00CD5053" w:rsidRDefault="00CD5053" w:rsidP="00CD5053">
      <w:r>
        <w:t>2.2.5</w:t>
      </w:r>
      <w:r>
        <w:tab/>
        <w:t>Основные физические измерения</w:t>
      </w:r>
      <w:r>
        <w:tab/>
        <w:t>138</w:t>
      </w:r>
    </w:p>
    <w:sectPr w:rsidR="00F12C76" w:rsidRPr="00CD5053" w:rsidSect="001972B1">
      <w:pgSz w:w="11906" w:h="16838" w:code="9"/>
      <w:pgMar w:top="1134" w:right="567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C3D6681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FB6A57"/>
    <w:multiLevelType w:val="multilevel"/>
    <w:tmpl w:val="7982FDD8"/>
    <w:lvl w:ilvl="0">
      <w:start w:val="1"/>
      <w:numFmt w:val="bullet"/>
      <w:lvlText w:val="−"/>
      <w:lvlJc w:val="left"/>
      <w:pPr>
        <w:ind w:left="644" w:hanging="360"/>
      </w:pPr>
      <w:rPr>
        <w:rFonts w:ascii="Open Sans" w:hAnsi="Open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E4FCB"/>
    <w:multiLevelType w:val="multilevel"/>
    <w:tmpl w:val="5AF249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3"/>
    <w:rsid w:val="00193D51"/>
    <w:rsid w:val="001972B1"/>
    <w:rsid w:val="00296D42"/>
    <w:rsid w:val="002C4432"/>
    <w:rsid w:val="004078CC"/>
    <w:rsid w:val="005A192E"/>
    <w:rsid w:val="006C0B77"/>
    <w:rsid w:val="00712767"/>
    <w:rsid w:val="00791AC6"/>
    <w:rsid w:val="00796A1F"/>
    <w:rsid w:val="008242FF"/>
    <w:rsid w:val="00870751"/>
    <w:rsid w:val="00922C48"/>
    <w:rsid w:val="00992D39"/>
    <w:rsid w:val="00A17CDE"/>
    <w:rsid w:val="00AE2C92"/>
    <w:rsid w:val="00B07C5D"/>
    <w:rsid w:val="00B915B7"/>
    <w:rsid w:val="00C470DA"/>
    <w:rsid w:val="00C64542"/>
    <w:rsid w:val="00CD5053"/>
    <w:rsid w:val="00D32832"/>
    <w:rsid w:val="00E51CD1"/>
    <w:rsid w:val="00EA59DF"/>
    <w:rsid w:val="00EC143B"/>
    <w:rsid w:val="00EE4070"/>
    <w:rsid w:val="00F12C76"/>
    <w:rsid w:val="00F5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E6DB"/>
  <w15:chartTrackingRefBased/>
  <w15:docId w15:val="{2A29603E-E05E-4F1C-8FFD-007ACDEA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a">
    <w:name w:val="Normal"/>
    <w:uiPriority w:val="1"/>
    <w:qFormat/>
    <w:rsid w:val="00796A1F"/>
  </w:style>
  <w:style w:type="paragraph" w:styleId="1">
    <w:name w:val="heading 1"/>
    <w:basedOn w:val="a"/>
    <w:next w:val="a"/>
    <w:link w:val="10"/>
    <w:qFormat/>
    <w:rsid w:val="004078CC"/>
    <w:pPr>
      <w:keepNext/>
      <w:keepLines/>
      <w:numPr>
        <w:numId w:val="20"/>
      </w:numPr>
      <w:ind w:left="431" w:hanging="431"/>
      <w:outlineLvl w:val="0"/>
    </w:pPr>
    <w:rPr>
      <w:rFonts w:asciiTheme="majorHAnsi" w:eastAsiaTheme="majorEastAsia" w:hAnsiTheme="majorHAnsi" w:cstheme="majorBidi"/>
      <w:b/>
      <w:bCs/>
      <w:color w:val="0B052D" w:themeColor="text1"/>
      <w:szCs w:val="28"/>
    </w:rPr>
  </w:style>
  <w:style w:type="paragraph" w:styleId="2">
    <w:name w:val="heading 2"/>
    <w:basedOn w:val="a"/>
    <w:next w:val="a"/>
    <w:link w:val="20"/>
    <w:qFormat/>
    <w:rsid w:val="00712767"/>
    <w:pPr>
      <w:numPr>
        <w:ilvl w:val="1"/>
        <w:numId w:val="20"/>
      </w:numPr>
      <w:ind w:left="578" w:hanging="578"/>
      <w:outlineLvl w:val="1"/>
    </w:pPr>
    <w:rPr>
      <w:rFonts w:asciiTheme="majorHAnsi" w:eastAsiaTheme="majorEastAsia" w:hAnsiTheme="majorHAnsi" w:cstheme="majorBidi"/>
      <w:bCs/>
      <w:smallCaps/>
      <w:color w:val="0B052D" w:themeColor="text1"/>
      <w:szCs w:val="28"/>
    </w:rPr>
  </w:style>
  <w:style w:type="paragraph" w:styleId="3">
    <w:name w:val="heading 3"/>
    <w:basedOn w:val="a"/>
    <w:next w:val="a"/>
    <w:link w:val="30"/>
    <w:qFormat/>
    <w:rsid w:val="00712767"/>
    <w:pPr>
      <w:numPr>
        <w:ilvl w:val="2"/>
        <w:numId w:val="20"/>
      </w:numPr>
      <w:outlineLvl w:val="2"/>
    </w:pPr>
    <w:rPr>
      <w:rFonts w:asciiTheme="majorHAnsi" w:eastAsiaTheme="majorEastAsia" w:hAnsiTheme="majorHAnsi" w:cstheme="majorBidi"/>
      <w:bCs/>
      <w:color w:val="0B052D" w:themeColor="text1"/>
    </w:rPr>
  </w:style>
  <w:style w:type="paragraph" w:styleId="4">
    <w:name w:val="heading 4"/>
    <w:basedOn w:val="a"/>
    <w:next w:val="a"/>
    <w:link w:val="40"/>
    <w:semiHidden/>
    <w:qFormat/>
    <w:rsid w:val="00796A1F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B052D" w:themeColor="text1"/>
    </w:rPr>
  </w:style>
  <w:style w:type="paragraph" w:styleId="5">
    <w:name w:val="heading 5"/>
    <w:basedOn w:val="a"/>
    <w:next w:val="a"/>
    <w:link w:val="50"/>
    <w:semiHidden/>
    <w:qFormat/>
    <w:rsid w:val="00796A1F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62626" w:themeColor="text2" w:themeShade="BF"/>
    </w:rPr>
  </w:style>
  <w:style w:type="paragraph" w:styleId="6">
    <w:name w:val="heading 6"/>
    <w:basedOn w:val="a"/>
    <w:next w:val="a"/>
    <w:link w:val="60"/>
    <w:semiHidden/>
    <w:qFormat/>
    <w:rsid w:val="00796A1F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2" w:themeShade="BF"/>
    </w:rPr>
  </w:style>
  <w:style w:type="paragraph" w:styleId="7">
    <w:name w:val="heading 7"/>
    <w:basedOn w:val="a"/>
    <w:next w:val="a"/>
    <w:link w:val="70"/>
    <w:semiHidden/>
    <w:qFormat/>
    <w:rsid w:val="00796A1F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241094" w:themeColor="text1" w:themeTint="BF"/>
    </w:rPr>
  </w:style>
  <w:style w:type="paragraph" w:styleId="8">
    <w:name w:val="heading 8"/>
    <w:basedOn w:val="a"/>
    <w:next w:val="a"/>
    <w:link w:val="80"/>
    <w:semiHidden/>
    <w:qFormat/>
    <w:rsid w:val="00796A1F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241094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qFormat/>
    <w:rsid w:val="00796A1F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241094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78CC"/>
    <w:rPr>
      <w:rFonts w:asciiTheme="majorHAnsi" w:eastAsiaTheme="majorEastAsia" w:hAnsiTheme="majorHAnsi" w:cstheme="majorBidi"/>
      <w:b/>
      <w:bCs/>
      <w:color w:val="0B052D" w:themeColor="text1"/>
      <w:szCs w:val="28"/>
    </w:rPr>
  </w:style>
  <w:style w:type="character" w:customStyle="1" w:styleId="20">
    <w:name w:val="Заголовок 2 Знак"/>
    <w:basedOn w:val="a0"/>
    <w:link w:val="2"/>
    <w:rsid w:val="00712767"/>
    <w:rPr>
      <w:rFonts w:asciiTheme="majorHAnsi" w:eastAsiaTheme="majorEastAsia" w:hAnsiTheme="majorHAnsi" w:cstheme="majorBidi"/>
      <w:bCs/>
      <w:smallCaps/>
      <w:color w:val="0B052D" w:themeColor="text1"/>
      <w:szCs w:val="28"/>
    </w:rPr>
  </w:style>
  <w:style w:type="character" w:customStyle="1" w:styleId="30">
    <w:name w:val="Заголовок 3 Знак"/>
    <w:basedOn w:val="a0"/>
    <w:link w:val="3"/>
    <w:rsid w:val="00712767"/>
    <w:rPr>
      <w:rFonts w:asciiTheme="majorHAnsi" w:eastAsiaTheme="majorEastAsia" w:hAnsiTheme="majorHAnsi" w:cstheme="majorBidi"/>
      <w:bCs/>
      <w:color w:val="0B052D" w:themeColor="text1"/>
    </w:rPr>
  </w:style>
  <w:style w:type="character" w:customStyle="1" w:styleId="40">
    <w:name w:val="Заголовок 4 Знак"/>
    <w:basedOn w:val="a0"/>
    <w:link w:val="4"/>
    <w:semiHidden/>
    <w:rsid w:val="00796A1F"/>
    <w:rPr>
      <w:rFonts w:asciiTheme="majorHAnsi" w:eastAsiaTheme="majorEastAsia" w:hAnsiTheme="majorHAnsi" w:cstheme="majorBidi"/>
      <w:b/>
      <w:bCs/>
      <w:i/>
      <w:iCs/>
      <w:color w:val="0B052D" w:themeColor="text1"/>
    </w:rPr>
  </w:style>
  <w:style w:type="character" w:customStyle="1" w:styleId="50">
    <w:name w:val="Заголовок 5 Знак"/>
    <w:basedOn w:val="a0"/>
    <w:link w:val="5"/>
    <w:semiHidden/>
    <w:rsid w:val="00796A1F"/>
    <w:rPr>
      <w:rFonts w:asciiTheme="majorHAnsi" w:eastAsiaTheme="majorEastAsia" w:hAnsiTheme="majorHAnsi" w:cstheme="majorBidi"/>
      <w:color w:val="262626" w:themeColor="text2" w:themeShade="BF"/>
    </w:rPr>
  </w:style>
  <w:style w:type="character" w:customStyle="1" w:styleId="60">
    <w:name w:val="Заголовок 6 Знак"/>
    <w:basedOn w:val="a0"/>
    <w:link w:val="6"/>
    <w:semiHidden/>
    <w:rsid w:val="00796A1F"/>
    <w:rPr>
      <w:rFonts w:asciiTheme="majorHAnsi" w:eastAsiaTheme="majorEastAsia" w:hAnsiTheme="majorHAnsi" w:cstheme="majorBidi"/>
      <w:i/>
      <w:iCs/>
      <w:color w:val="262626" w:themeColor="text2" w:themeShade="BF"/>
    </w:rPr>
  </w:style>
  <w:style w:type="character" w:customStyle="1" w:styleId="70">
    <w:name w:val="Заголовок 7 Знак"/>
    <w:basedOn w:val="a0"/>
    <w:link w:val="7"/>
    <w:semiHidden/>
    <w:rsid w:val="00796A1F"/>
    <w:rPr>
      <w:rFonts w:asciiTheme="majorHAnsi" w:eastAsiaTheme="majorEastAsia" w:hAnsiTheme="majorHAnsi" w:cstheme="majorBidi"/>
      <w:i/>
      <w:iCs/>
      <w:color w:val="241094" w:themeColor="text1" w:themeTint="BF"/>
    </w:rPr>
  </w:style>
  <w:style w:type="character" w:customStyle="1" w:styleId="80">
    <w:name w:val="Заголовок 8 Знак"/>
    <w:basedOn w:val="a0"/>
    <w:link w:val="8"/>
    <w:semiHidden/>
    <w:rsid w:val="00796A1F"/>
    <w:rPr>
      <w:rFonts w:asciiTheme="majorHAnsi" w:eastAsiaTheme="majorEastAsia" w:hAnsiTheme="majorHAnsi" w:cstheme="majorBidi"/>
      <w:color w:val="241094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796A1F"/>
    <w:rPr>
      <w:rFonts w:asciiTheme="majorHAnsi" w:eastAsiaTheme="majorEastAsia" w:hAnsiTheme="majorHAnsi" w:cstheme="majorBidi"/>
      <w:i/>
      <w:iCs/>
      <w:color w:val="241094" w:themeColor="text1" w:themeTint="BF"/>
      <w:sz w:val="20"/>
      <w:szCs w:val="20"/>
    </w:rPr>
  </w:style>
  <w:style w:type="paragraph" w:styleId="a3">
    <w:name w:val="caption"/>
    <w:basedOn w:val="a"/>
    <w:next w:val="a"/>
    <w:uiPriority w:val="99"/>
    <w:semiHidden/>
    <w:qFormat/>
    <w:rsid w:val="00796A1F"/>
    <w:pPr>
      <w:spacing w:after="200"/>
    </w:pPr>
    <w:rPr>
      <w:i/>
      <w:iCs/>
      <w:color w:val="333333" w:themeColor="text2"/>
      <w:sz w:val="18"/>
      <w:szCs w:val="18"/>
    </w:rPr>
  </w:style>
  <w:style w:type="paragraph" w:styleId="a4">
    <w:name w:val="Title"/>
    <w:basedOn w:val="a"/>
    <w:next w:val="a"/>
    <w:link w:val="a5"/>
    <w:uiPriority w:val="99"/>
    <w:semiHidden/>
    <w:qFormat/>
    <w:rsid w:val="00796A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99"/>
    <w:semiHidden/>
    <w:rsid w:val="00796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99"/>
    <w:semiHidden/>
    <w:rsid w:val="00796A1F"/>
    <w:pPr>
      <w:numPr>
        <w:ilvl w:val="1"/>
      </w:numPr>
      <w:spacing w:after="160"/>
    </w:pPr>
    <w:rPr>
      <w:color w:val="2E15BF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99"/>
    <w:semiHidden/>
    <w:rsid w:val="00796A1F"/>
    <w:rPr>
      <w:rFonts w:eastAsiaTheme="minorEastAsia"/>
      <w:color w:val="2E15BF" w:themeColor="text1" w:themeTint="A5"/>
      <w:spacing w:val="15"/>
      <w:sz w:val="22"/>
      <w:szCs w:val="22"/>
    </w:rPr>
  </w:style>
  <w:style w:type="character" w:styleId="a8">
    <w:name w:val="Strong"/>
    <w:basedOn w:val="a0"/>
    <w:uiPriority w:val="99"/>
    <w:semiHidden/>
    <w:rsid w:val="00796A1F"/>
    <w:rPr>
      <w:b/>
      <w:bCs/>
    </w:rPr>
  </w:style>
  <w:style w:type="character" w:styleId="a9">
    <w:name w:val="Emphasis"/>
    <w:basedOn w:val="a0"/>
    <w:uiPriority w:val="99"/>
    <w:semiHidden/>
    <w:rsid w:val="00796A1F"/>
    <w:rPr>
      <w:i/>
      <w:iCs/>
    </w:rPr>
  </w:style>
  <w:style w:type="paragraph" w:styleId="aa">
    <w:name w:val="No Spacing"/>
    <w:uiPriority w:val="99"/>
    <w:semiHidden/>
    <w:rsid w:val="00796A1F"/>
  </w:style>
  <w:style w:type="paragraph" w:styleId="21">
    <w:name w:val="Quote"/>
    <w:basedOn w:val="a"/>
    <w:next w:val="a"/>
    <w:link w:val="22"/>
    <w:uiPriority w:val="99"/>
    <w:semiHidden/>
    <w:rsid w:val="00796A1F"/>
    <w:pPr>
      <w:spacing w:before="200" w:after="160"/>
      <w:ind w:left="864" w:right="864"/>
      <w:jc w:val="center"/>
    </w:pPr>
    <w:rPr>
      <w:i/>
      <w:iCs/>
      <w:color w:val="241094" w:themeColor="text1" w:themeTint="BF"/>
    </w:rPr>
  </w:style>
  <w:style w:type="character" w:customStyle="1" w:styleId="22">
    <w:name w:val="Цитата 2 Знак"/>
    <w:basedOn w:val="a0"/>
    <w:link w:val="21"/>
    <w:uiPriority w:val="99"/>
    <w:semiHidden/>
    <w:rsid w:val="00796A1F"/>
    <w:rPr>
      <w:rFonts w:eastAsiaTheme="minorEastAsia"/>
      <w:i/>
      <w:iCs/>
      <w:color w:val="241094" w:themeColor="text1" w:themeTint="BF"/>
    </w:rPr>
  </w:style>
  <w:style w:type="paragraph" w:styleId="ab">
    <w:name w:val="Intense Quote"/>
    <w:basedOn w:val="a"/>
    <w:next w:val="a"/>
    <w:link w:val="ac"/>
    <w:uiPriority w:val="99"/>
    <w:semiHidden/>
    <w:rsid w:val="00796A1F"/>
    <w:pPr>
      <w:pBdr>
        <w:top w:val="single" w:sz="4" w:space="10" w:color="3F85C7" w:themeColor="accent1"/>
        <w:bottom w:val="single" w:sz="4" w:space="10" w:color="3F85C7" w:themeColor="accent1"/>
      </w:pBdr>
      <w:spacing w:before="360" w:after="360"/>
      <w:ind w:left="864" w:right="864"/>
      <w:jc w:val="center"/>
    </w:pPr>
    <w:rPr>
      <w:i/>
      <w:iCs/>
      <w:color w:val="3F85C7" w:themeColor="accent1"/>
    </w:rPr>
  </w:style>
  <w:style w:type="character" w:customStyle="1" w:styleId="ac">
    <w:name w:val="Выделенная цитата Знак"/>
    <w:basedOn w:val="a0"/>
    <w:link w:val="ab"/>
    <w:uiPriority w:val="99"/>
    <w:semiHidden/>
    <w:rsid w:val="00796A1F"/>
    <w:rPr>
      <w:rFonts w:eastAsiaTheme="minorEastAsia"/>
      <w:i/>
      <w:iCs/>
      <w:color w:val="3F85C7" w:themeColor="accent1"/>
    </w:rPr>
  </w:style>
  <w:style w:type="character" w:styleId="ad">
    <w:name w:val="Subtle Emphasis"/>
    <w:basedOn w:val="a0"/>
    <w:uiPriority w:val="99"/>
    <w:semiHidden/>
    <w:rsid w:val="00796A1F"/>
    <w:rPr>
      <w:i/>
      <w:iCs/>
      <w:color w:val="241094" w:themeColor="text1" w:themeTint="BF"/>
    </w:rPr>
  </w:style>
  <w:style w:type="character" w:styleId="ae">
    <w:name w:val="Intense Emphasis"/>
    <w:basedOn w:val="a0"/>
    <w:uiPriority w:val="99"/>
    <w:semiHidden/>
    <w:rsid w:val="00796A1F"/>
    <w:rPr>
      <w:i/>
      <w:iCs/>
      <w:color w:val="3F85C7" w:themeColor="accent1"/>
    </w:rPr>
  </w:style>
  <w:style w:type="character" w:styleId="af">
    <w:name w:val="Subtle Reference"/>
    <w:basedOn w:val="a0"/>
    <w:uiPriority w:val="99"/>
    <w:semiHidden/>
    <w:rsid w:val="00796A1F"/>
    <w:rPr>
      <w:smallCaps/>
      <w:color w:val="2E15BF" w:themeColor="text1" w:themeTint="A5"/>
    </w:rPr>
  </w:style>
  <w:style w:type="character" w:styleId="af0">
    <w:name w:val="Intense Reference"/>
    <w:basedOn w:val="a0"/>
    <w:uiPriority w:val="99"/>
    <w:semiHidden/>
    <w:rsid w:val="00796A1F"/>
    <w:rPr>
      <w:b/>
      <w:bCs/>
      <w:smallCaps/>
      <w:color w:val="3F85C7" w:themeColor="accent1"/>
      <w:spacing w:val="5"/>
    </w:rPr>
  </w:style>
  <w:style w:type="character" w:styleId="af1">
    <w:name w:val="Book Title"/>
    <w:basedOn w:val="a0"/>
    <w:uiPriority w:val="99"/>
    <w:semiHidden/>
    <w:rsid w:val="00796A1F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99"/>
    <w:semiHidden/>
    <w:qFormat/>
    <w:rsid w:val="00796A1F"/>
    <w:pPr>
      <w:numPr>
        <w:numId w:val="0"/>
      </w:numPr>
      <w:spacing w:before="240"/>
      <w:outlineLvl w:val="9"/>
    </w:pPr>
    <w:rPr>
      <w:b w:val="0"/>
      <w:bCs w:val="0"/>
      <w:smallCaps/>
      <w:color w:val="2C6397" w:themeColor="accent1" w:themeShade="BF"/>
      <w:sz w:val="32"/>
      <w:szCs w:val="32"/>
    </w:rPr>
  </w:style>
  <w:style w:type="paragraph" w:styleId="af3">
    <w:name w:val="List Paragraph"/>
    <w:basedOn w:val="a"/>
    <w:uiPriority w:val="99"/>
    <w:semiHidden/>
    <w:rsid w:val="00796A1F"/>
    <w:pPr>
      <w:ind w:left="720"/>
      <w:contextualSpacing/>
    </w:pPr>
  </w:style>
  <w:style w:type="paragraph" w:customStyle="1" w:styleId="af4">
    <w:name w:val="Основной"/>
    <w:basedOn w:val="a"/>
    <w:link w:val="af5"/>
    <w:uiPriority w:val="1"/>
    <w:qFormat/>
    <w:rsid w:val="00796A1F"/>
    <w:pPr>
      <w:spacing w:after="120"/>
      <w:ind w:firstLine="567"/>
    </w:pPr>
  </w:style>
  <w:style w:type="character" w:customStyle="1" w:styleId="af5">
    <w:name w:val="Основной Знак"/>
    <w:basedOn w:val="a0"/>
    <w:link w:val="af4"/>
    <w:uiPriority w:val="1"/>
    <w:rsid w:val="00796A1F"/>
  </w:style>
  <w:style w:type="table" w:styleId="af6">
    <w:name w:val="Table Grid"/>
    <w:basedOn w:val="a1"/>
    <w:uiPriority w:val="39"/>
    <w:rsid w:val="00796A1F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rPr>
        <w:tblHeader/>
      </w:trPr>
    </w:tblStylePr>
    <w:tblStylePr w:type="firstCol">
      <w:pPr>
        <w:jc w:val="left"/>
      </w:pPr>
    </w:tblStylePr>
    <w:tblStylePr w:type="nwCell">
      <w:pPr>
        <w:jc w:val="center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Аэродиск">
      <a:dk1>
        <a:srgbClr val="0B052D"/>
      </a:dk1>
      <a:lt1>
        <a:srgbClr val="FFFFFF"/>
      </a:lt1>
      <a:dk2>
        <a:srgbClr val="333333"/>
      </a:dk2>
      <a:lt2>
        <a:srgbClr val="FFFFFF"/>
      </a:lt2>
      <a:accent1>
        <a:srgbClr val="3F85C7"/>
      </a:accent1>
      <a:accent2>
        <a:srgbClr val="DE9E90"/>
      </a:accent2>
      <a:accent3>
        <a:srgbClr val="D06C96"/>
      </a:accent3>
      <a:accent4>
        <a:srgbClr val="82509D"/>
      </a:accent4>
      <a:accent5>
        <a:srgbClr val="4C8083"/>
      </a:accent5>
      <a:accent6>
        <a:srgbClr val="F52C85"/>
      </a:accent6>
      <a:hlink>
        <a:srgbClr val="14603C"/>
      </a:hlink>
      <a:folHlink>
        <a:srgbClr val="1E905A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</dc:creator>
  <cp:keywords/>
  <dc:description/>
  <cp:lastModifiedBy>Клименко Елена</cp:lastModifiedBy>
  <cp:revision>3</cp:revision>
  <dcterms:created xsi:type="dcterms:W3CDTF">2021-04-03T10:24:00Z</dcterms:created>
  <dcterms:modified xsi:type="dcterms:W3CDTF">2021-04-03T15:51:00Z</dcterms:modified>
</cp:coreProperties>
</file>