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reply and Review 4 changes</w:t>
      </w:r>
    </w:p>
    <w:p>
      <w:r>
        <w:t>8 October 2026   Controlled consultation drafting</w:t>
      </w:r>
    </w:p>
    <w:p>
      <w:r>
        <w:t>Retain the residential baseline and common technical competence direction. Apply Dan’s approved future-entry and existing-worker distinction. Courtney Gleeson’s reply helps explain below-threshold contracting and points to historical assessment design, but does not settle the final carpenter scheme or endorse the initiative.</w:t>
      </w:r>
    </w:p>
    <w:p>
      <w:pPr>
        <w:pStyle w:val="Heading1"/>
      </w:pPr>
      <w:r>
        <w:t>Changes applied for review</w:t>
      </w:r>
    </w:p>
    <w:p>
      <w:pPr>
        <w:pStyle w:val="ListBullet"/>
      </w:pPr>
      <w:r>
        <w:t>D02: Question 7 now recommends completed apprenticeship plus Certificate III for future entrants. The existing workforce has a separate verified-equivalence route, with targeted gap training or experience. No automatic grandfathering or unnecessary full-qualification repetition.</w:t>
      </w:r>
    </w:p>
    <w:p>
      <w:pPr>
        <w:pStyle w:val="ListBullet"/>
      </w:pPr>
      <w:r>
        <w:t>Questions 4 and 6: distinguish current major-contract rules, the separate proposed $20,000 threshold and the historical RIS permission table. Contract value does not define technical scope or confer builder authority.</w:t>
      </w:r>
    </w:p>
    <w:p>
      <w:pPr>
        <w:pStyle w:val="ListBullet"/>
      </w:pPr>
      <w:r>
        <w:t>Questions 7 and 12: attribute historical training plans, transition periods and workforce calculations accurately. Do not treat the old five-year setting or Census-derived cohort as current adoption or a current residential count.</w:t>
      </w:r>
    </w:p>
    <w:p>
      <w:pPr>
        <w:pStyle w:val="ListBullet"/>
      </w:pPr>
      <w:r>
        <w:t>Evidence and document control: add Courtney’s supplied reply and primary contract sources. Retain all 13 consultation questions, the historical financial table, opposition and alternatives.</w:t>
      </w:r>
    </w:p>
    <w:p>
      <w:pPr>
        <w:pStyle w:val="Heading1"/>
      </w:pPr>
      <w:r>
        <w:t>What the reply resolves and leaves open</w:t>
      </w:r>
    </w:p>
    <w:p>
      <w:pPr>
        <w:pStyle w:val="ListBullet"/>
      </w:pPr>
      <w:r>
        <w:t>Current contract rule verified: section 3 defines a major domestic building contract by an amount exceeding that fixed by regulation; regulation 6 fixes $10,000. Section 29(1)(a) and (b) require registration authorising the work. These rules do not answer every other legal obligation below the threshold.</w:t>
      </w:r>
    </w:p>
    <w:p>
      <w:pPr>
        <w:pStyle w:val="ListBullet"/>
      </w:pPr>
      <w:r>
        <w:t>Proposed reform verified: the 18 August 2026 DTP notice proposes a $20,000 threshold. Courtney reports final regulations expected this month and commencement on 31 March 2027. Those timing statements are attributed to the correspondence; the final made instrument and its commencement were not independently confirmed.</w:t>
      </w:r>
    </w:p>
    <w:p>
      <w:pPr>
        <w:pStyle w:val="ListBullet"/>
      </w:pPr>
      <w:r>
        <w:t>Historical RIS Table 0.1, printed page 31, shows below-$10,000 contracting for subcontractors under the then-existing scheme. The September slide matrix omits that column. This reduces the apparent inconsistency, while permits, insurance, corporate roles and future trade rules need separate checks.</w:t>
      </w:r>
    </w:p>
    <w:p>
      <w:pPr>
        <w:pStyle w:val="ListBullet"/>
      </w:pPr>
      <w:r>
        <w:t>Historical assessment sections 3.3.4 and 3.3.4.1, printed pages 71–72, describe provisional entry, assessment against qualification units and practical experience, and gap-specific training plans. The scheme design also includes time limits and an exemption discussion. It is not proof that every future applicant must complete an apprenticeship under current law.</w:t>
      </w:r>
    </w:p>
    <w:p>
      <w:pPr>
        <w:pStyle w:val="ListBullet"/>
      </w:pPr>
      <w:r>
        <w:t>Chapter 2, printed pages 34–46, presents defect, dispute, inspection, insurance and skills evidence. It acknowledges attribution and reporting limits. Risk-selected inspections are not a random workforce sample; recorded door/window issues can inflate counts per dispute. Problem evidence does not itself prove the incremental benefit of licensing.</w:t>
      </w:r>
    </w:p>
    <w:p>
      <w:pPr>
        <w:pStyle w:val="ListBullet"/>
      </w:pPr>
      <w:r>
        <w:t>The reply supplies no new workforce calculation explaining the deck estimate and no measured licensing effect. The existing-building and wet-area contact will be supplied in due course; no introduction has yet been made.</w:t>
      </w:r>
    </w:p>
    <w:p>
      <w:pPr>
        <w:pStyle w:val="Heading1"/>
      </w:pPr>
      <w:r>
        <w:t>Source status and control</w:t>
      </w:r>
    </w:p>
    <w:p>
      <w:r>
        <w:t>The recovered 2024 RIS carries the historical-reference-only disclaimer on the cited pages. Courtney’s referral is recorded alongside that disclaimer; it does not supersede it. The incoming reply date was not provided. This record uses the text Dan supplied on 8 October and does not invent a received timestamp or claim independent email authentication.</w:t>
      </w:r>
    </w:p>
    <w:p>
      <w:r>
        <w:t>Primary checks: Domestic Building Contracts Act 1995 version 094, sections 3 and 29; Domestic Building Contracts Regulations 2017 version 004, regulation 6; DTP notice of 18 August 2026. Engage Victoria’s full pages could not be retrieved during this check, so final regulations and timing remain to verify. Review 4 references provide the source locations.</w:t>
      </w:r>
    </w:p>
    <w:p>
      <w:r>
        <w:t>The genuine v0.3 DOCX and PDF hashes remain unchanged. D01 and D03 remain as approved. RRC remains optional and mechanism-neutral; existing builder pathways and professional boundaries remain. No remote write, merge, publication, submission or outreach performed. Review 3 remains available for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