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working draft version 0.4 Review 4</w:t>
      </w:r>
    </w:p>
    <w:p>
      <w:r>
        <w:rPr>
          <w:rFonts w:ascii="Arial" w:hAnsi="Arial"/>
        </w:rPr>
        <w:t>Prepared by Carpenters for Housing Reform Victoria</w:t>
      </w:r>
    </w:p>
    <w:p>
      <w:r>
        <w:rPr>
          <w:rFonts w:ascii="Arial" w:hAnsi="Arial"/>
        </w:rPr>
        <w:t>Evidence custodian Dan Sonsie</w:t>
      </w:r>
    </w:p>
    <w:p>
      <w:r>
        <w:rPr>
          <w:rFonts w:ascii="Arial" w:hAnsi="Arial"/>
        </w:rPr>
        <w:t>8 October 2026</w:t>
      </w:r>
    </w:p>
    <w:p/>
    <w:p>
      <w:pPr/>
      <w:r>
        <w:rPr>
          <w:rFonts w:ascii="Arial" w:hAnsi="Arial"/>
        </w:rPr>
        <w:t>Evidence review status: Original v0.3 audit controls retained. The meeting record, consultation slides, 6 October email and Courtney Gleeson’s reply supplied on 8 October inform this revision. Current contract provisions and the separate threshold proposal have been checked; permit, insurance and final carpenter-scheme settings still require review.</w:t>
      </w:r>
    </w:p>
    <w:p>
      <w:r>
        <w:rPr>
          <w:rFonts w:ascii="Arial" w:hAnsi="Arial"/>
          <w:b/>
        </w:rPr>
        <w:t>Submission status:</w:t>
      </w:r>
      <w:r>
        <w:rPr>
          <w:rFonts w:ascii="Arial" w:hAnsi="Arial"/>
        </w:rPr>
        <w:t xml:space="preserve"> Working draft for review. Not yet submitted.</w:t>
      </w:r>
    </w:p>
    <w:p>
      <w:r>
        <w:rPr>
          <w:rFonts w:ascii="Arial" w:hAnsi="Arial"/>
          <w:b/>
        </w:rPr>
        <w:t>Closing date:</w:t>
      </w:r>
      <w:r>
        <w:rPr>
          <w:rFonts w:ascii="Arial" w:hAnsi="Arial"/>
        </w:rPr>
        <w:t xml:space="preserve"> Sunday 11 October 2026.</w:t>
      </w:r>
    </w:p>
    <w:p/>
    <w:p>
      <w:r>
        <w:rPr>
          <w:rFonts w:ascii="Arial" w:hAnsi="Arial"/>
        </w:rPr>
        <w:t>This submission supports proportionate competence and accountability requirements where evidence establishes material risk, a limitation in existing controls and an incremental public benefit. It distinguishes minimum trade competence from advanced residential capability and preserves evidence-based career progression. The choice of regulatory mechanism should follow the function, evidence and implementation test.</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conditionally supports minimum competence and accountability requirements for regulated carpentry work. The scope should be justified by attributable risk, the limitations of existing controls, the likely incremental benefit and the cost to workers, businesses and consumers. A simpler or narrower intervention should be preferred where it achieves the required outcome.</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Victoria should preserve the capacity to test whether a distinct advanced capability gap exists. An endorsement, revised existing class, additional class, non-statutory credential or no additional mechanism should remain available until the relevant scope, consumer problem, assessment reliability and legal consequences are established.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Test a residential carpenter baseline before additional recognition layers. Compare a clear work-and-risk-based residential scope with alignment to relevant existing domestic builder classes and any justified specialist requirements. Publish the scope, evidence and burden comparison before selecting the regulatory mechanism.</w:t>
      </w:r>
    </w:p>
    <w:p>
      <w:pPr>
        <w:spacing w:after="60"/>
        <w:ind w:left="374" w:hanging="259"/>
      </w:pPr>
      <w:r>
        <w:rPr>
          <w:rFonts w:ascii="Arial" w:hAnsi="Arial"/>
        </w:rPr>
        <w:t>• Apply a common technical competence standard to employees and subcontractors performing the same prescribed residential work. Add separate role requirements for relevant business, contracting, probity, financial and insurance responsibilities where justified by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with verified competence, targeted gap training and controls matched to identified gaps. Model staged commencement and provisional recognition against alternatives before setting duration and conditions.</w:t>
      </w:r>
    </w:p>
    <w:p>
      <w:pPr>
        <w:spacing w:after="60"/>
        <w:ind w:left="374" w:hanging="259"/>
      </w:pPr>
      <w:r>
        <w:rPr>
          <w:rFonts w:ascii="Arial" w:hAnsi="Arial"/>
        </w:rPr>
        <w:t>• For future entrants, require completed carpentry apprenticeship and Certificate III evidence. For existing workers, recognise reliably verified equivalent competence and address identified gaps. Select assessment methods proportionately to authorised scope and applicant risk.</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Recommend independent operational testing of assessment and transition processes before full commencement, including regional access, processing time, cost and assessor calibration. This recommendation does not activate the initiative’s pilot or instruments.</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656"/>
            <w:shd w:fill="244B5A"/>
            <w:vAlign w:val="center"/>
            <w:tcMar>
              <w:top w:w="90" w:type="dxa"/>
              <w:start w:w="100" w:type="dxa"/>
              <w:bottom w:w="90" w:type="dxa"/>
              <w:end w:w="100" w:type="dxa"/>
            </w:tcMar>
          </w:tcPr>
          <w:p>
            <w:r>
              <w:rPr>
                <w:rFonts w:ascii="Arial" w:hAnsi="Arial"/>
                <w:b/>
                <w:color w:val="FFFFFF"/>
                <w:sz w:val="18"/>
              </w:rPr>
              <w:t>Issue</w:t>
            </w:r>
          </w:p>
        </w:tc>
        <w:tc>
          <w:tcPr>
            <w:tcW w:type="dxa" w:w="3672"/>
            <w:shd w:fill="244B5A"/>
            <w:vAlign w:val="center"/>
            <w:tcMar>
              <w:top w:w="90" w:type="dxa"/>
              <w:start w:w="100" w:type="dxa"/>
              <w:bottom w:w="90" w:type="dxa"/>
              <w:end w:w="100" w:type="dxa"/>
            </w:tcMar>
          </w:tcPr>
          <w:p>
            <w:r>
              <w:rPr>
                <w:rFonts w:ascii="Arial" w:hAnsi="Arial"/>
                <w:b/>
                <w:color w:val="FFFFFF"/>
                <w:sz w:val="18"/>
              </w:rPr>
              <w:t>Current consultation signal</w:t>
            </w:r>
          </w:p>
        </w:tc>
        <w:tc>
          <w:tcPr>
            <w:tcW w:type="dxa" w:w="4248"/>
            <w:shd w:fill="244B5A"/>
            <w:vAlign w:val="center"/>
            <w:tcMar>
              <w:top w:w="90" w:type="dxa"/>
              <w:start w:w="100" w:type="dxa"/>
              <w:bottom w:w="90" w:type="dxa"/>
              <w:end w:w="100" w:type="dxa"/>
            </w:tcMar>
          </w:tcPr>
          <w:p>
            <w:r>
              <w:rPr>
                <w:rFonts w:ascii="Arial" w:hAnsi="Arial"/>
                <w:b/>
                <w:color w:val="FFFFFF"/>
                <w:sz w:val="18"/>
              </w:rPr>
              <w:t>Submission implication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Class structure</w:t>
            </w:r>
          </w:p>
        </w:tc>
        <w:tc>
          <w:tcPr>
            <w:tcW w:type="dxa" w:w="3672"/>
            <w:vAlign w:val="center"/>
            <w:tcMar>
              <w:top w:w="90" w:type="dxa"/>
              <w:start w:w="100" w:type="dxa"/>
              <w:bottom w:w="90" w:type="dxa"/>
              <w:end w:w="100" w:type="dxa"/>
            </w:tcMar>
          </w:tcPr>
          <w:p>
            <w:pPr>
              <w:spacing w:after="40"/>
            </w:pPr>
            <w:r>
              <w:rPr>
                <w:rFonts w:ascii="Arial" w:hAnsi="Arial"/>
                <w:sz w:val="17"/>
              </w:rPr>
              <w:t>DTP is testing legacy builder-class alignment against work-and-risk-based classes.</w:t>
            </w:r>
          </w:p>
        </w:tc>
        <w:tc>
          <w:tcPr>
            <w:tcW w:type="dxa" w:w="4248"/>
            <w:vAlign w:val="center"/>
            <w:tcMar>
              <w:top w:w="90" w:type="dxa"/>
              <w:start w:w="100" w:type="dxa"/>
              <w:bottom w:w="90" w:type="dxa"/>
              <w:end w:w="100" w:type="dxa"/>
            </w:tcMar>
          </w:tcPr>
          <w:p>
            <w:r>
              <w:rPr>
                <w:rFonts w:ascii="Arial" w:hAnsi="Arial"/>
              </w:rPr>
              <w:t>Test a clear residential baseline against relevant domestic builder classes, with scope and authority boundaries.</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Role tiers</w:t>
            </w:r>
          </w:p>
        </w:tc>
        <w:tc>
          <w:tcPr>
            <w:tcW w:type="dxa" w:w="3672"/>
            <w:vAlign w:val="center"/>
            <w:shd w:fill="F1F6F7"/>
            <w:tcMar>
              <w:top w:w="90" w:type="dxa"/>
              <w:start w:w="100" w:type="dxa"/>
              <w:bottom w:w="90" w:type="dxa"/>
              <w:end w:w="100" w:type="dxa"/>
            </w:tcMar>
          </w:tcPr>
          <w:p>
            <w:pPr>
              <w:spacing w:after="40"/>
            </w:pPr>
            <w:r>
              <w:rPr>
                <w:rFonts w:ascii="Arial" w:hAnsi="Arial"/>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r>
              <w:rPr>
                <w:rFonts w:ascii="Arial" w:hAnsi="Arial"/>
              </w:rPr>
              <w:t>Use the same technical competence standard for the same residential work, with separate role requirements matched to responsibilities and authority.</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Existing workforce</w:t>
            </w:r>
          </w:p>
        </w:tc>
        <w:tc>
          <w:tcPr>
            <w:tcW w:type="dxa" w:w="3672"/>
            <w:vAlign w:val="center"/>
            <w:tcMar>
              <w:top w:w="90" w:type="dxa"/>
              <w:start w:w="100" w:type="dxa"/>
              <w:bottom w:w="90" w:type="dxa"/>
              <w:end w:w="100" w:type="dxa"/>
            </w:tcMar>
          </w:tcPr>
          <w:p>
            <w:pPr>
              <w:spacing w:after="40"/>
            </w:pPr>
            <w:r>
              <w:rPr>
                <w:rFonts w:ascii="Arial" w:hAnsi="Arial"/>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rFonts w:ascii="Arial" w:hAnsi="Arial"/>
                <w:sz w:val="17"/>
              </w:rPr>
              <w:t>Offer an evidence-governed transition model, not automatic grandfathering or forced repetition.</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Advanced capability</w:t>
            </w:r>
          </w:p>
        </w:tc>
        <w:tc>
          <w:tcPr>
            <w:tcW w:type="dxa" w:w="3672"/>
            <w:vAlign w:val="center"/>
            <w:shd w:fill="F1F6F7"/>
            <w:tcMar>
              <w:top w:w="90" w:type="dxa"/>
              <w:start w:w="100" w:type="dxa"/>
              <w:bottom w:w="90" w:type="dxa"/>
              <w:end w:w="100" w:type="dxa"/>
            </w:tcMar>
          </w:tcPr>
          <w:p>
            <w:pPr>
              <w:spacing w:after="40"/>
            </w:pPr>
            <w:r>
              <w:rPr>
                <w:rFonts w:ascii="Arial" w:hAnsi="Arial"/>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rFonts w:ascii="Arial" w:hAnsi="Arial"/>
                <w:sz w:val="17"/>
              </w:rPr>
              <w:t>Explain that advanced renovation capability is a separate progression question and should not be inferred from basic registration.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Future regulation</w:t>
            </w:r>
          </w:p>
        </w:tc>
        <w:tc>
          <w:tcPr>
            <w:tcW w:type="dxa" w:w="3672"/>
            <w:vAlign w:val="center"/>
            <w:tcMar>
              <w:top w:w="90" w:type="dxa"/>
              <w:start w:w="100" w:type="dxa"/>
              <w:bottom w:w="90" w:type="dxa"/>
              <w:end w:w="100" w:type="dxa"/>
            </w:tcMar>
          </w:tcPr>
          <w:p>
            <w:pPr>
              <w:spacing w:after="40"/>
            </w:pPr>
            <w:r>
              <w:rPr>
                <w:rFonts w:ascii="Arial" w:hAnsi="Arial"/>
                <w:sz w:val="17"/>
              </w:rPr>
              <w:t>The framework may extend to waterproofing and welding.</w:t>
            </w:r>
          </w:p>
        </w:tc>
        <w:tc>
          <w:tcPr>
            <w:tcW w:type="dxa" w:w="4248"/>
            <w:vAlign w:val="center"/>
            <w:tcMar>
              <w:top w:w="90" w:type="dxa"/>
              <w:start w:w="100" w:type="dxa"/>
              <w:bottom w:w="90" w:type="dxa"/>
              <w:end w:w="100" w:type="dxa"/>
            </w:tcMar>
          </w:tcPr>
          <w:p>
            <w:pPr>
              <w:spacing w:after="40"/>
            </w:pPr>
            <w:r>
              <w:rPr>
                <w:rFonts w:ascii="Arial" w:hAnsi="Arial"/>
                <w:sz w:val="17"/>
              </w:rPr>
              <w:t>Use a coherent architecture that can scale across trades without copying unsuitable legacy classes.</w:t>
            </w:r>
          </w:p>
        </w:tc>
      </w:tr>
      <w:tr>
        <w:trPr>
          <w:cantSplit/>
        </w:trPr>
        <w:tc>
          <w:tcPr>
            <w:tcW w:type="dxa" w:w="3331"/>
          </w:tcPr>
          <w:p>
            <w:r>
              <w:rPr>
                <w:rFonts w:ascii="Arial" w:hAnsi="Arial"/>
              </w:rPr>
              <w:t>Consultation slides</w:t>
            </w:r>
          </w:p>
        </w:tc>
        <w:tc>
          <w:tcPr>
            <w:tcW w:type="dxa" w:w="3331"/>
          </w:tcPr>
          <w:p>
            <w:r>
              <w:rPr>
                <w:rFonts w:ascii="Arial" w:hAnsi="Arial"/>
              </w:rPr>
              <w:t>Slides 2 and 5 identify four objectives and proportionality; slide 3 describes proposed role permissions; slide 6 addresses transition and operational readiness.</w:t>
            </w:r>
          </w:p>
        </w:tc>
        <w:tc>
          <w:tcPr>
            <w:tcW w:type="dxa" w:w="3331"/>
          </w:tcPr>
          <w:p>
            <w:r>
              <w:rPr>
                <w:rFonts w:ascii="Arial" w:hAnsi="Arial"/>
              </w:rPr>
              <w:t>Map each recommendation to an objective and risk. Proposed permissions are not a statement that new requirements have commenced. [6]</w:t>
            </w:r>
          </w:p>
        </w:tc>
      </w:tr>
      <w:tr>
        <w:trPr>
          <w:cantSplit/>
        </w:trPr>
        <w:tc>
          <w:tcPr>
            <w:tcW w:type="dxa" w:w="3331"/>
          </w:tcPr>
          <w:p>
            <w:r>
              <w:rPr>
                <w:rFonts w:ascii="Arial" w:hAnsi="Arial"/>
              </w:rPr>
              <w:t>Stakeholder views</w:t>
            </w:r>
          </w:p>
        </w:tc>
        <w:tc>
          <w:tcPr>
            <w:tcW w:type="dxa" w:w="3331"/>
          </w:tcPr>
          <w:p>
            <w:r>
              <w:rPr>
                <w:rFonts w:ascii="Arial" w:hAnsi="Arial"/>
              </w:rPr>
              <w:t>The 6 October email reports support and opposition. Supporters expected workforce and quality benefits; opponents questioned the evidence, further regulatory change and worker acceptance.</w:t>
            </w:r>
          </w:p>
        </w:tc>
        <w:tc>
          <w:tcPr>
            <w:tcW w:type="dxa" w:w="3331"/>
          </w:tcPr>
          <w:p>
            <w:r>
              <w:rPr>
                <w:rFonts w:ascii="Arial" w:hAnsi="Arial"/>
              </w:rPr>
              <w:t>Retain both views. No participation proportions or causal results are supplied. [7]</w:t>
            </w:r>
          </w:p>
        </w:tc>
      </w:tr>
      <w:tr>
        <w:trPr>
          <w:cantSplit/>
        </w:trPr>
        <w:tc>
          <w:tcPr>
            <w:tcW w:type="dxa" w:w="3331"/>
          </w:tcPr>
          <w:p>
            <w:r>
              <w:rPr>
                <w:rFonts w:ascii="Arial" w:hAnsi="Arial"/>
              </w:rPr>
              <w:t>Transition and retirement</w:t>
            </w:r>
          </w:p>
        </w:tc>
        <w:tc>
          <w:tcPr>
            <w:tcW w:type="dxa" w:w="3331"/>
          </w:tcPr>
          <w:p>
            <w:r>
              <w:rPr>
                <w:rFonts w:ascii="Arial" w:hAnsi="Arial"/>
              </w:rPr>
              <w:t>The email reports calls for staging and suitable arrangements for older carpenters approaching retirement.</w:t>
            </w:r>
          </w:p>
        </w:tc>
        <w:tc>
          <w:tcPr>
            <w:tcW w:type="dxa" w:w="3331"/>
          </w:tcPr>
          <w:p>
            <w:r>
              <w:rPr>
                <w:rFonts w:ascii="Arial" w:hAnsi="Arial"/>
              </w:rPr>
              <w:t>Model accessible pathways and process relief while retaining competence outcomes; no fixed duration or age waiver is established. [7]</w:t>
            </w:r>
          </w:p>
        </w:tc>
      </w:tr>
    </w:tbl>
    <w:p>
      <w:pPr>
        <w:spacing w:after="20"/>
      </w:pPr>
    </w:p>
    <w:p>
      <w:pPr/>
      <w:r>
        <w:rPr>
          <w:rFonts w:ascii="Arial" w:hAnsi="Arial"/>
        </w:rPr>
        <w:t>DTP’s slides describe proposals and intended outcomes. Its 6 October email reports both support and opposition and says views will inform advice to the incoming Government. Courtney Gleeson’s subsequent reply identifies current contract rules, separate proposed contract reforms and historical RIS sections for further reading. These sources do not announce a final carpenter model or endorse this initiative. The historical RIS disclaimer remains applicable. [2; 6–7; 9–12]</w:t>
      </w:r>
    </w:p>
    <w:p>
      <w:pPr>
        <w:pStyle w:val="Heading1"/>
        <w:keepNext/>
      </w:pPr>
      <w:r>
        <w:rPr>
          <w:rFonts w:ascii="Arial" w:hAnsi="Arial"/>
        </w:rPr>
        <w:t>Response to consultation questions</w:t>
      </w:r>
    </w:p>
    <w:p>
      <w:pPr>
        <w:pStyle w:val="Heading2"/>
        <w:keepNext/>
      </w:pPr>
      <w:r>
        <w:rPr>
          <w:rFonts w:ascii="Arial" w:hAnsi="Arial"/>
        </w:rPr>
        <w:t>1  Priority objectives and outcomes</w:t>
      </w:r>
    </w:p>
    <w:p>
      <w:r>
        <w:rPr>
          <w:rFonts w:ascii="Arial" w:hAnsi="Arial"/>
        </w:rPr>
        <w:t>The four stated government objectives are improved consumer confidence, fewer building defects, incentives for skills formation and qualifications, and greater regulatory oversight. Recommendations should show how they contribute to these objectives. Recruitment, retention and work-quality improvements reported by supporters are expectations to test, not measured results. Workforce capacity and clear practitioner scope should be monitored alongside consumer outcomes. [6, slides 2 and 5; 7]</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2  Effectiveness of registration and licensing</w:t>
      </w:r>
    </w:p>
    <w:p>
      <w:r>
        <w:rPr>
          <w:rFonts w:ascii="Arial" w:hAnsi="Arial"/>
        </w:rPr>
        <w:t>The proposed causal chain is that verified competence and practitioner traceability enable more effective compliance and enforcement, which may reduce attributable defects and improve accountability. Each link needs evidence. Registration alone cannot establish the result: defects may arise from design, materials, sequencing, supervision, commercial pressure or decisions made by others. The causal responsibilities of carpenters and registered builders must remain distinct and visible. [6, slide 2; 7]</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3  Alternative regulatory approaches</w:t>
      </w:r>
    </w:p>
    <w:p>
      <w:r>
        <w:rPr>
          <w:rFonts w:ascii="Arial" w:hAnsi="Arial"/>
        </w:rPr>
        <w:t>Compare individual entry controls with contractor accountability, stronger builder supervision, targeted inspections, records for concealed or critical work, technical education and voluntary advanced recognition. A contractor-focused alternative was raised in the structured meeting record; it is a stakeholder option, not selected government policy. The correct approach is the lowest intervention that demonstrably addresses the verified problem, including no additional restriction where existing or less burdensome controls suffice. [5, DTPM-026 and 032]</w:t>
      </w:r>
    </w:p>
    <w:p>
      <w:pPr>
        <w:spacing w:after="60"/>
        <w:ind w:left="374" w:hanging="259"/>
      </w:pPr>
      <w:r>
        <w:rPr>
          <w:rFonts w:ascii="Arial" w:hAnsi="Arial"/>
        </w:rPr>
        <w:t>• Use registration only where a verified material risk and incremental accountability benefit justify entry restrictions.</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4  Risk factors for restricting work</w:t>
      </w:r>
    </w:p>
    <w:p>
      <w:r>
        <w:rPr>
          <w:rFonts w:ascii="Arial" w:hAnsi="Arial"/>
        </w:rPr>
        <w:t>Risk should be assessed by consequence of failure, likelihood of non-compliance, whether mandatory standards apply, the difficulty of detecting defects before concealment, and the degree of independent judgment exercised. Contract value should not be used as the sole or decisive proxy for work risk.</w:t>
      </w:r>
    </w:p>
    <w:p>
      <w:pPr/>
      <w:r>
        <w:rPr>
          <w:rFonts w:ascii="Arial" w:hAnsi="Arial"/>
        </w:rPr>
        <w:t>Match each requirement to the risk it controls and the burden it imposes. Current regulation 6 fixes the major domestic building contract threshold at $10,000; section 3 defines a major contract by an amount above that threshold, and section 29 requires registration authorising the work. Separate draft contract regulations propose $20,000. The departmental reply reports expected commencement on 31 March 2027; that is not a carpenter-scheme commencement date or proof that the threshold has changed. Low-value work can still create serious technical risk. [9–12]</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xml:space="preserve">• </w:t>
      </w:r>
      <w:r>
        <w:rPr>
          <w:rFonts w:ascii="Arial" w:hAnsi="Arial"/>
        </w:rPr>
        <w:t>Existing-building uncertainty, progressive discovery and the need to stop, investigate or refer.</w:t>
      </w:r>
    </w:p>
    <w:p>
      <w:pPr>
        <w:pStyle w:val="Heading2"/>
        <w:keepNext/>
      </w:pPr>
      <w:r>
        <w:rPr>
          <w:rFonts w:ascii="Arial" w:hAnsi="Arial"/>
        </w:rPr>
        <w:t>5  Existing builder classes or proposed risk-based classes</w:t>
      </w:r>
    </w:p>
    <w:p>
      <w:r>
        <w:rPr>
          <w:rFonts w:ascii="Arial" w:hAnsi="Arial"/>
        </w:rPr>
        <w:t>Our proposed baseline registration is limited to residential carpentry, covering defined carpentry work in new homes and existing homes. It establishes competence to perform that work and does not, by implication, grant consumer contracting, project-level supervision or builder authority. Compare a clear work-and-risk-based residential scope with relevant existing domestic builder classes before selecting the statutory mechanism. Apply specialist requirements only where the authorised work and evidence justify them.</w:t>
      </w:r>
    </w:p>
    <w:p>
      <w:pPr/>
      <w:r>
        <w:rPr>
          <w:rFonts w:ascii="Arial" w:hAnsi="Arial"/>
        </w:rPr>
        <w:t>Residential scope is the initiative’s recommendation, not a claim that government has adopted a residential-only scheme. The Department may need separate arrangements for non-residential work. Publish boundaries for mixed-use buildings, ancillary structures and temporary works so practitioners can identify when another class or responsible practitioner is required. This proposal does not confer authority outside the defined residential scope.</w:t>
      </w:r>
    </w:p>
    <w:p>
      <w:pPr>
        <w:spacing w:after="60"/>
        <w:ind w:left="374" w:hanging="259"/>
      </w:pPr>
      <w:r>
        <w:rPr>
          <w:rFonts w:ascii="Arial" w:hAnsi="Arial"/>
        </w:rPr>
        <w:t>• Map the proposed residential scope against existing domestic builder classes and clarify interfaces with non-residential work to prevent gaps, overlap or authority by implication.</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6  Subcontractor and employee tiers</w:t>
      </w:r>
    </w:p>
    <w:p>
      <w:r>
        <w:rPr>
          <w:rFonts w:ascii="Arial" w:hAnsi="Arial"/>
        </w:rPr>
        <w:t>Employees and subcontractors performing the same prescribed residential carpentry work should meet the same technical competence standard. Apply separate role requirements where responsibilities and authority differ. Employees should not face business or financial requirements unrelated to their work authority. Subcontractor requirements should address relevant business, contractual, probity and insurance responsibilities only where justified. Confirm statutory terminology, legislative feasibility and insurance consequences before finalising the mechanism. [6, slide 3]</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Make movement between employee and subcontractor roles administratively simple. Retain verified technical competence and assess only additional role requirements; an unchanged work scope should not require repeat technical assessment solely because employment status changes.</w:t>
      </w:r>
    </w:p>
    <w:p>
      <w:pPr>
        <w:spacing w:after="60"/>
        <w:ind w:left="374" w:hanging="259"/>
      </w:pPr>
      <w:r>
        <w:rPr>
          <w:rFonts w:ascii="Arial" w:hAnsi="Arial"/>
        </w:rPr>
        <w:t>• Retain the responsible registered builder’s project-level accountability while making each carpenter’s responsibility for their own work and boundary decisions clear. Separate role requirements do not transfer builder authority or responsibility to a carpenter.</w:t>
      </w:r>
    </w:p>
    <w:p>
      <w:r>
        <w:rPr>
          <w:rFonts w:ascii="Arial" w:hAnsi="Arial"/>
        </w:rPr>
        <w:t>Authority and handoff boundaries. Registration to perform prescribed carpentry work should not, by implication, authorise consumer contracting, building-permit responsibility, project-level supervision or coordination, structural design or certification, or specialist regulated work. The final framework should state when a carpenter must stop, refer or work under the authority of a registered builder, engineer, building surveyor or licensed specialist practitioner.</w:t>
      </w:r>
    </w:p>
    <w:p>
      <w:pPr/>
      <w:r>
        <w:rPr>
          <w:rFonts w:ascii="Arial" w:hAnsi="Arial"/>
        </w:rPr>
        <w:t>Slide 3 summarises proposed builder, subcontractor and employee permissions, but does not show a below-threshold contracting column. Courtney Gleeson directs us to historical RIS sections 1.3 and 1.3.2 and Table 0.1. The table shows subcontractors contracting for carpentry under $10,000 under the then-existing scheme, with new registration and disciplinary obligations proposed separately. This helps explain the meeting statement rather than establishing a contradiction with the slides. Current law and proposed changes must be checked separately; permits, insurance, corporate roles and carpentry commencement remain distinct questions. [2, pp. 28–31; 5, DTPM-015–019; 6, slide 3; 9]</w:t>
      </w:r>
    </w:p>
    <w:p>
      <w:pPr>
        <w:pStyle w:val="Heading2"/>
        <w:keepNext/>
      </w:pPr>
      <w:r>
        <w:rPr>
          <w:rFonts w:ascii="Arial" w:hAnsi="Arial"/>
        </w:rPr>
        <w:t>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r>
        <w:rPr>
          <w:rFonts w:ascii="Arial" w:hAnsi="Arial"/>
        </w:rPr>
        <w:t>For future entrants, this initiative recommends a completed carpentry apprenticeship with Certificate III as the entry requirement. For the existing workforce, provide a separate route through reliably verified equivalent competence and targeted training or experience for identified gaps. Tenure alone is not sufficient, and competent existing workers should not repeat a full qualification unnecessarily. This is our proposed entry rule, not a government decision. The historical RIS describes assessment and training plans for transition, but its settings require current confirmation. [2, pp. 71–72; 6, slide 6; 9]</w:t>
      </w:r>
    </w:p>
    <w:p>
      <w:pPr>
        <w:spacing w:after="60"/>
        <w:ind w:left="374" w:hanging="259"/>
      </w:pPr>
      <w:r>
        <w:rPr>
          <w:rFonts w:ascii="Arial" w:hAnsi="Arial"/>
        </w:rPr>
        <w:t xml:space="preserve">• </w:t>
      </w:r>
      <w:r>
        <w:rPr>
          <w:rFonts w:ascii="Arial" w:hAnsi="Arial"/>
        </w:rPr>
        <w:t>Assess competence against the required outcome, not merely possession of documents.</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r>
        <w:rPr>
          <w:rFonts w:ascii="Arial" w:hAnsi="Arial"/>
        </w:rPr>
        <w:t>Set transition duration using cohort size, verified gaps, safety risk and regulator and training capacity. A five-year pathway was raised by a meeting participant and also appears in the historical RIS, with a time-limited application period and training-plan conditions. Neither source establishes a current adopted duration. Staging should not permit unproven safety-critical competence or become indefinite provisional status. [2, pp. 71–72; 5, DTPM-022 and 033; 7; 9]</w:t>
      </w:r>
    </w:p>
    <w:p>
      <w:pPr>
        <w:pStyle w:val="Heading2"/>
        <w:keepNext/>
      </w:pPr>
      <w:r>
        <w:rPr>
          <w:rFonts w:ascii="Arial" w:hAnsi="Arial"/>
        </w:rPr>
        <w:t>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r>
        <w:rPr>
          <w:rFonts w:ascii="Arial" w:hAnsi="Arial"/>
        </w:rPr>
        <w:t>Documentary screening should distinguish missing records from an actual competence gap. Specify who verifies each gap and who may impose or review conditions; proposed assessor involvement should not imply statutory powers that have not been established.</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Test targeted funding or capped assessment costs against eligibility, workforce need and a current cost model; the announced $16 million program is not an allocation to these proposals. [6, slide 2]</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Accept reliable workplace evidence through methods compatible with the BPC’s published assessment process; avoid duplicating verification already completed.</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r>
        <w:rPr>
          <w:rFonts w:ascii="Arial" w:hAnsi="Arial"/>
        </w:rPr>
        <w:t>For workers approaching retirement, consider assisted applications, recognition of verified records and targeted cost relief. Age or intended retirement date should not automatically waive essential competence or extend authority. Compare the burden and safety effects of any special arrangements. [7]</w:t>
      </w:r>
    </w:p>
    <w:p>
      <w:pPr>
        <w:pStyle w:val="Heading2"/>
        <w:keepNext/>
      </w:pPr>
      <w:r>
        <w:rPr>
          <w:rFonts w:ascii="Arial" w:hAnsi="Arial"/>
        </w:rPr>
        <w:t>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r>
        <w:rPr>
          <w:rFonts w:ascii="Arial" w:hAnsi="Arial"/>
        </w:rPr>
        <w:t>Readiness criteria should cover clear scope, responsible decision makers, trained assessors, tested systems, forecast demand, accessible assistance, review mechanisms and funded compliance capacity. Publish who is responsible for each criterion and how readiness will be assessed. [6, slides 4 and 6]</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r>
        <w:rPr>
          <w:rFonts w:ascii="Arial" w:hAnsi="Arial"/>
        </w:rPr>
        <w:t>DTP’s slides estimate more than 20,000 carpenters in Victoria. Courtney Gleeson’s reply refers the evidence question to the historical RIS. Its page 30 uses 2021 Census and then-regulator data to derive an unregistered cohort; that calculation is not a current residential-renovation count or an explanation of the slide estimate. Reconcile dates, occupational coverage, roles and registration categories before forecasting BPC, assessor or training demand. [2, p. 30; 6, slide 6; 9]</w:t>
      </w:r>
    </w:p>
    <w:p>
      <w:pPr>
        <w:spacing w:after="60"/>
        <w:ind w:left="374" w:hanging="259"/>
      </w:pPr>
      <w:r>
        <w:rPr>
          <w:rFonts w:ascii="Arial" w:hAnsi="Arial"/>
        </w:rPr>
        <w:t>• Assess whether multiple assessment providers can operate within BPC decision-making, integrity and moderation arrangements; do not assume accreditation or delegated authority.</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r>
        <w:rPr>
          <w:rFonts w:ascii="Arial" w:hAnsi="Arial"/>
        </w:rPr>
        <w:t>The departmental email records concern about additional regulatory change and possible worker resistance. Test these concerns rather than assuming the size of any exit effect. Compare burdens on employees and subcontractors, include retirement profiles, and simplify process without weakening essential competence. [7]</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initiative recommends a residential-only baseline. A work-and-risk-based residential scope is an option for testing against alignment to relevant existing domestic builder classes. The statutory mechanism remains open. DTP should compare the options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mobility within residential carpentry and clear boundaries when a practitioner moves into non-residential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pPr/>
      <w:r>
        <w:rPr>
          <w:rFonts w:ascii="Arial" w:hAnsi="Arial"/>
        </w:rPr>
        <w:t>• compatibility with the BPC’s operating model, transition capacity and the burden of further regulatory change.</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pPr/>
      <w:r>
        <w:rPr>
          <w:rFonts w:ascii="Arial" w:hAnsi="Arial"/>
        </w:rPr>
        <w:t>The structured meeting record reports a participant preference for simplicity and a general licence. Retain that broader option as contrary or alternative evidence; it does not establish government policy or displace this initiative’s residential recommendation. Assess both scope and usability against risk, coverage and burden evidence. [5, DTPM-023 and 029]</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r>
        <w:rPr>
          <w:rFonts w:ascii="Arial" w:hAnsi="Arial"/>
        </w:rPr>
        <w:t>The departmental reply refers the evidence question to Chapter 2 of the historical RIS. That chapter identifies material concerns, while acknowledging data and attribution limits, including risk-selected inspections and dispute-counting effects. This supports examining the problem; it does not itself measure the incremental defect reduction from registration. Retain the request for current evidence and an evaluation against alternatives. The 6 October email records calls for stronger evidence and contrary views. [2, pp. 34–46; 7; 9]</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credible carpenter career pathway: apprenticeship and baseline trade competence, followed by advanced residential capability where a distinct need is demonstrated. Existing builder entry pathways remain directly available. Advanced recognition must never become a mandatory step before builder registration. Possible mechanisms include an endorsement, reform of Domestic Builder Limited to Carpentry, an optional Registered Residential Carpenter pathway, a non-statutory credential or no additional mechanism. Define the function, evidence and public benefit before choosing among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Capability level</w:t>
            </w:r>
          </w:p>
        </w:tc>
        <w:tc>
          <w:tcPr>
            <w:tcW w:type="dxa" w:w="2880"/>
            <w:shd w:fill="244B5A"/>
            <w:vAlign w:val="center"/>
            <w:tcMar>
              <w:top w:w="90" w:type="dxa"/>
              <w:start w:w="100" w:type="dxa"/>
              <w:bottom w:w="90" w:type="dxa"/>
              <w:end w:w="100" w:type="dxa"/>
            </w:tcMar>
          </w:tcPr>
          <w:p>
            <w:r>
              <w:rPr>
                <w:rFonts w:ascii="Arial" w:hAnsi="Arial"/>
                <w:b/>
                <w:color w:val="FFFFFF"/>
                <w:sz w:val="18"/>
              </w:rPr>
              <w:t>Primary function</w:t>
            </w:r>
          </w:p>
        </w:tc>
        <w:tc>
          <w:tcPr>
            <w:tcW w:type="dxa" w:w="3168"/>
            <w:shd w:fill="244B5A"/>
            <w:vAlign w:val="center"/>
            <w:tcMar>
              <w:top w:w="90" w:type="dxa"/>
              <w:start w:w="100" w:type="dxa"/>
              <w:bottom w:w="90" w:type="dxa"/>
              <w:end w:w="100" w:type="dxa"/>
            </w:tcMar>
          </w:tcPr>
          <w:p>
            <w:r>
              <w:rPr>
                <w:rFonts w:ascii="Arial" w:hAnsi="Arial"/>
                <w:b/>
                <w:color w:val="FFFFFF"/>
                <w:sz w:val="18"/>
              </w:rPr>
              <w:t>Evidence emphasis</w:t>
            </w:r>
          </w:p>
        </w:tc>
        <w:tc>
          <w:tcPr>
            <w:tcW w:type="dxa" w:w="3168"/>
            <w:shd w:fill="244B5A"/>
            <w:vAlign w:val="center"/>
            <w:tcMar>
              <w:top w:w="90" w:type="dxa"/>
              <w:start w:w="100" w:type="dxa"/>
              <w:bottom w:w="90" w:type="dxa"/>
              <w:end w:w="100" w:type="dxa"/>
            </w:tcMar>
          </w:tcPr>
          <w:p>
            <w:r>
              <w:rPr>
                <w:rFonts w:ascii="Arial" w:hAnsi="Arial"/>
                <w:b/>
                <w:color w:val="FFFFFF"/>
                <w:sz w:val="18"/>
              </w:rPr>
              <w:t>Authority boundary</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Apprentice</w:t>
            </w:r>
          </w:p>
        </w:tc>
        <w:tc>
          <w:tcPr>
            <w:tcW w:type="dxa" w:w="2880"/>
            <w:vAlign w:val="center"/>
            <w:tcMar>
              <w:top w:w="90" w:type="dxa"/>
              <w:start w:w="100" w:type="dxa"/>
              <w:bottom w:w="90" w:type="dxa"/>
              <w:end w:w="100" w:type="dxa"/>
            </w:tcMar>
          </w:tcPr>
          <w:p>
            <w:pPr>
              <w:spacing w:after="40"/>
            </w:pPr>
            <w:r>
              <w:rPr>
                <w:rFonts w:ascii="Arial" w:hAnsi="Arial"/>
                <w:sz w:val="17"/>
              </w:rPr>
              <w:t>Supervised learning</w:t>
            </w:r>
          </w:p>
        </w:tc>
        <w:tc>
          <w:tcPr>
            <w:tcW w:type="dxa" w:w="3168"/>
            <w:vAlign w:val="center"/>
            <w:tcMar>
              <w:top w:w="90" w:type="dxa"/>
              <w:start w:w="100" w:type="dxa"/>
              <w:bottom w:w="90" w:type="dxa"/>
              <w:end w:w="100" w:type="dxa"/>
            </w:tcMar>
          </w:tcPr>
          <w:p>
            <w:pPr>
              <w:spacing w:after="40"/>
            </w:pPr>
            <w:r>
              <w:rPr>
                <w:rFonts w:ascii="Arial" w:hAnsi="Arial"/>
                <w:sz w:val="17"/>
              </w:rPr>
              <w:t>Training contract and workplace evidence</w:t>
            </w:r>
          </w:p>
        </w:tc>
        <w:tc>
          <w:tcPr>
            <w:tcW w:type="dxa" w:w="3168"/>
            <w:vAlign w:val="center"/>
            <w:tcMar>
              <w:top w:w="90" w:type="dxa"/>
              <w:start w:w="100" w:type="dxa"/>
              <w:bottom w:w="90" w:type="dxa"/>
              <w:end w:w="100" w:type="dxa"/>
            </w:tcMar>
          </w:tcPr>
          <w:p>
            <w:pPr>
              <w:spacing w:after="40"/>
            </w:pPr>
            <w:r>
              <w:rPr>
                <w:rFonts w:ascii="Arial" w:hAnsi="Arial"/>
                <w:sz w:val="17"/>
              </w:rPr>
              <w:t>Works only within apprenticeship arrangements</w:t>
            </w:r>
          </w:p>
        </w:tc>
      </w:tr>
      <w:tr>
        <w:trPr>
          <w:cantSplit/>
        </w:trPr>
        <w:tc>
          <w:tcPr>
            <w:tcW w:type="dxa" w:w="1800"/>
            <w:vAlign w:val="center"/>
            <w:shd w:fill="F1F6F7"/>
            <w:tcMar>
              <w:top w:w="90" w:type="dxa"/>
              <w:start w:w="100" w:type="dxa"/>
              <w:bottom w:w="90" w:type="dxa"/>
              <w:end w:w="100" w:type="dxa"/>
            </w:tcMar>
          </w:tcPr>
          <w:p>
            <w:r>
              <w:rPr>
                <w:rFonts w:ascii="Arial" w:hAnsi="Arial"/>
              </w:rPr>
              <w:t>Residential carpenter baseline</w:t>
            </w:r>
          </w:p>
        </w:tc>
        <w:tc>
          <w:tcPr>
            <w:tcW w:type="dxa" w:w="2880"/>
            <w:vAlign w:val="center"/>
            <w:shd w:fill="F1F6F7"/>
            <w:tcMar>
              <w:top w:w="90" w:type="dxa"/>
              <w:start w:w="100" w:type="dxa"/>
              <w:bottom w:w="90" w:type="dxa"/>
              <w:end w:w="100" w:type="dxa"/>
            </w:tcMar>
          </w:tcPr>
          <w:p>
            <w:r>
              <w:rPr>
                <w:rFonts w:ascii="Arial" w:hAnsi="Arial"/>
              </w:rPr>
              <w:t>Perform prescribed residential carpentry work in new and existing homes</w:t>
            </w:r>
          </w:p>
        </w:tc>
        <w:tc>
          <w:tcPr>
            <w:tcW w:type="dxa" w:w="3168"/>
            <w:vAlign w:val="center"/>
            <w:shd w:fill="F1F6F7"/>
            <w:tcMar>
              <w:top w:w="90" w:type="dxa"/>
              <w:start w:w="100" w:type="dxa"/>
              <w:bottom w:w="90" w:type="dxa"/>
              <w:end w:w="100" w:type="dxa"/>
            </w:tcMar>
          </w:tcPr>
          <w:p>
            <w:r>
              <w:rPr>
                <w:rFonts w:ascii="Arial" w:hAnsi="Arial"/>
              </w:rPr>
              <w:t>Verified qualification and apprenticeship outcomes; reliable existing-worker equivalence where justified</w:t>
            </w:r>
          </w:p>
        </w:tc>
        <w:tc>
          <w:tcPr>
            <w:tcW w:type="dxa" w:w="3168"/>
            <w:vAlign w:val="center"/>
            <w:shd w:fill="F1F6F7"/>
            <w:tcMar>
              <w:top w:w="90" w:type="dxa"/>
              <w:start w:w="100" w:type="dxa"/>
              <w:bottom w:w="90" w:type="dxa"/>
              <w:end w:w="100" w:type="dxa"/>
            </w:tcMar>
          </w:tcPr>
          <w:p>
            <w:pPr>
              <w:spacing w:after="40"/>
            </w:pPr>
            <w:r>
              <w:rPr>
                <w:rFonts w:ascii="Arial" w:hAnsi="Arial"/>
                <w:sz w:val="17"/>
              </w:rPr>
              <w:t>No broader contracting or builder authority by implication</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Advanced residential capability</w:t>
            </w:r>
          </w:p>
        </w:tc>
        <w:tc>
          <w:tcPr>
            <w:tcW w:type="dxa" w:w="2880"/>
            <w:vAlign w:val="center"/>
            <w:tcMar>
              <w:top w:w="90" w:type="dxa"/>
              <w:start w:w="100" w:type="dxa"/>
              <w:bottom w:w="90" w:type="dxa"/>
              <w:end w:w="100" w:type="dxa"/>
            </w:tcMar>
          </w:tcPr>
          <w:p>
            <w:pPr>
              <w:spacing w:after="40"/>
            </w:pPr>
            <w:r>
              <w:rPr>
                <w:rFonts w:ascii="Arial" w:hAnsi="Arial"/>
                <w:sz w:val="17"/>
              </w:rPr>
              <w:t>Integrated judgment in existing-home alteration and renovation</w:t>
            </w:r>
          </w:p>
        </w:tc>
        <w:tc>
          <w:tcPr>
            <w:tcW w:type="dxa" w:w="3168"/>
            <w:vAlign w:val="center"/>
            <w:tcMar>
              <w:top w:w="90" w:type="dxa"/>
              <w:start w:w="100" w:type="dxa"/>
              <w:bottom w:w="90" w:type="dxa"/>
              <w:end w:w="100" w:type="dxa"/>
            </w:tcMar>
          </w:tcPr>
          <w:p>
            <w:r>
              <w:rPr>
                <w:rFonts w:ascii="Arial" w:hAnsi="Arial"/>
              </w:rPr>
              <w:t>Validated evidence of integrated decisions, practical or scenario performance and boundary recognition</w:t>
            </w:r>
          </w:p>
        </w:tc>
        <w:tc>
          <w:tcPr>
            <w:tcW w:type="dxa" w:w="3168"/>
            <w:vAlign w:val="center"/>
            <w:tcMar>
              <w:top w:w="90" w:type="dxa"/>
              <w:start w:w="100" w:type="dxa"/>
              <w:bottom w:w="90" w:type="dxa"/>
              <w:end w:w="100" w:type="dxa"/>
            </w:tcMar>
          </w:tcPr>
          <w:p>
            <w:r>
              <w:rPr>
                <w:rFonts w:ascii="Arial" w:hAnsi="Arial"/>
              </w:rPr>
              <w:t>Optional progression under examination; no statutory authority or builder-entry prerequisite implied</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Registered builder</w:t>
            </w:r>
          </w:p>
        </w:tc>
        <w:tc>
          <w:tcPr>
            <w:tcW w:type="dxa" w:w="2880"/>
            <w:vAlign w:val="center"/>
            <w:shd w:fill="F1F6F7"/>
            <w:tcMar>
              <w:top w:w="90" w:type="dxa"/>
              <w:start w:w="100" w:type="dxa"/>
              <w:bottom w:w="90" w:type="dxa"/>
              <w:end w:w="100" w:type="dxa"/>
            </w:tcMar>
          </w:tcPr>
          <w:p>
            <w:pPr>
              <w:spacing w:after="40"/>
            </w:pPr>
            <w:r>
              <w:rPr>
                <w:rFonts w:ascii="Arial" w:hAnsi="Arial"/>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rFonts w:ascii="Arial" w:hAnsi="Arial"/>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rFonts w:ascii="Arial" w:hAnsi="Arial"/>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r>
        <w:rPr>
          <w:rFonts w:ascii="Arial" w:hAnsi="Arial"/>
        </w:rPr>
        <w:t>Practitioner cases can illustrate concealed-condition decisions, progressive discovery, verification and handoffs. They do not establish statewide prevalence, independent carpenter attribution or the absence of those outcomes from formal training. Recruitment of interested practitioners also creates selection bias: positive experience or self-selected participation cannot establish that the capability is distinct across the workforce. Test contrary cases, existing-pathway performance and negative or inconclusive results without changing governed confidence values.</w:t>
      </w:r>
    </w:p>
    <w:p>
      <w:pPr>
        <w:pStyle w:val="Heading1"/>
        <w:keepNext/>
      </w:pPr>
      <w:r>
        <w:rPr>
          <w:rFonts w:ascii="Arial" w:hAnsi="Arial"/>
        </w:rPr>
        <w:t>Assessment architecture</w:t>
      </w:r>
    </w:p>
    <w:p>
      <w:r>
        <w:rPr>
          <w:rFonts w:ascii="Arial" w:hAnsi="Arial"/>
        </w:rPr>
        <w:t>Separate baseline regulatory verification from research into any residual advanced capability. Baseline requirements should align with the BPC’s proportionate verification approach. The BPC describes reduced documentation for lower-risk categories and replacement of interviews with exams, starting with DB-U. That publication does not establish the exact future carpenter assessment specification. Do not prescribe mandatory interviews or a uniform practical assessment for every carpenter without a scope-specific justification. [6, slide 4; 8]</w:t>
      </w:r>
    </w:p>
    <w:p>
      <w:pPr>
        <w:spacing w:after="60"/>
        <w:ind w:left="374" w:hanging="259"/>
      </w:pPr>
      <w:r>
        <w:rPr>
          <w:rFonts w:ascii="Arial" w:hAnsi="Arial"/>
        </w:rPr>
        <w:t>• For future entrants, completed carpentry apprenticeship and Certificate III evidence; for the existing workforce, verified equivalent competence and targeted gap training where needed.</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pPr/>
      <w:r>
        <w:rPr>
          <w:rFonts w:ascii="Arial" w:hAnsi="Arial"/>
        </w:rPr>
        <w:t>The evidence methods above are options selected for the scope, risk and applicant evidence, not a cumulative test required of every worker. Any advanced-capability scenarios or interviews remain research methods until validated and accepted for a defined regulatory purpose.</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Issue</w:t>
            </w:r>
          </w:p>
        </w:tc>
        <w:tc>
          <w:tcPr>
            <w:tcW w:type="dxa" w:w="3816"/>
            <w:shd w:fill="244B5A"/>
            <w:vAlign w:val="center"/>
            <w:tcMar>
              <w:top w:w="90" w:type="dxa"/>
              <w:start w:w="100" w:type="dxa"/>
              <w:bottom w:w="90" w:type="dxa"/>
              <w:end w:w="100" w:type="dxa"/>
            </w:tcMar>
          </w:tcPr>
          <w:p>
            <w:r>
              <w:rPr>
                <w:rFonts w:ascii="Arial" w:hAnsi="Arial"/>
                <w:b/>
                <w:color w:val="FFFFFF"/>
                <w:sz w:val="18"/>
              </w:rPr>
              <w:t>Observed position</w:t>
            </w:r>
          </w:p>
        </w:tc>
        <w:tc>
          <w:tcPr>
            <w:tcW w:type="dxa" w:w="4176"/>
            <w:shd w:fill="244B5A"/>
            <w:vAlign w:val="center"/>
            <w:tcMar>
              <w:top w:w="90" w:type="dxa"/>
              <w:start w:w="100" w:type="dxa"/>
              <w:bottom w:w="90" w:type="dxa"/>
              <w:end w:w="100" w:type="dxa"/>
            </w:tcMar>
          </w:tcPr>
          <w:p>
            <w:r>
              <w:rPr>
                <w:rFonts w:ascii="Arial" w:hAnsi="Arial"/>
                <w:b/>
                <w:color w:val="FFFFFF"/>
                <w:sz w:val="18"/>
              </w:rPr>
              <w:t>Recommended treatment</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Benefit sensitivity</w:t>
            </w:r>
          </w:p>
        </w:tc>
        <w:tc>
          <w:tcPr>
            <w:tcW w:type="dxa" w:w="3816"/>
            <w:vAlign w:val="center"/>
            <w:tcMar>
              <w:top w:w="90" w:type="dxa"/>
              <w:start w:w="100" w:type="dxa"/>
              <w:bottom w:w="90" w:type="dxa"/>
              <w:end w:w="100" w:type="dxa"/>
            </w:tcMar>
          </w:tcPr>
          <w:p>
            <w:pPr>
              <w:spacing w:after="40"/>
            </w:pPr>
            <w:r>
              <w:rPr>
                <w:rFonts w:ascii="Arial" w:hAnsi="Arial"/>
              </w:rP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rPr>
                <w:rFonts w:ascii="Arial" w:hAnsi="Arial"/>
              </w:rP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Defect attribution</w:t>
            </w:r>
          </w:p>
        </w:tc>
        <w:tc>
          <w:tcPr>
            <w:tcW w:type="dxa" w:w="3816"/>
            <w:vAlign w:val="center"/>
            <w:shd w:fill="F1F6F7"/>
            <w:tcMar>
              <w:top w:w="90" w:type="dxa"/>
              <w:start w:w="100" w:type="dxa"/>
              <w:bottom w:w="90" w:type="dxa"/>
              <w:end w:w="100" w:type="dxa"/>
            </w:tcMar>
          </w:tcPr>
          <w:p>
            <w:pPr>
              <w:spacing w:after="40"/>
            </w:pPr>
            <w:r>
              <w:rPr>
                <w:rFonts w:ascii="Arial" w:hAnsi="Arial"/>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rFonts w:ascii="Arial" w:hAnsi="Arial"/>
                <w:sz w:val="17"/>
              </w:rPr>
              <w:t>Attribute defects by work type, responsible role and cause before claiming benefits from carpenter entry controls.</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Scope omissions</w:t>
            </w:r>
          </w:p>
        </w:tc>
        <w:tc>
          <w:tcPr>
            <w:tcW w:type="dxa" w:w="3816"/>
            <w:vAlign w:val="center"/>
            <w:tcMar>
              <w:top w:w="90" w:type="dxa"/>
              <w:start w:w="100" w:type="dxa"/>
              <w:bottom w:w="90" w:type="dxa"/>
              <w:end w:w="100" w:type="dxa"/>
            </w:tcMar>
          </w:tcPr>
          <w:p>
            <w:pPr>
              <w:spacing w:after="40"/>
            </w:pPr>
            <w:r>
              <w:rPr>
                <w:rFonts w:ascii="Arial" w:hAnsi="Arial"/>
              </w:rP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rFonts w:ascii="Arial" w:hAnsi="Arial"/>
                <w:sz w:val="17"/>
              </w:rPr>
              <w:t>Test stairs, passive-fire carpentry, temporary works and cross-trade interfaces against current risk evidence.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Workforce estimates</w:t>
            </w:r>
          </w:p>
        </w:tc>
        <w:tc>
          <w:tcPr>
            <w:tcW w:type="dxa" w:w="3816"/>
            <w:vAlign w:val="center"/>
            <w:shd w:fill="F1F6F7"/>
            <w:tcMar>
              <w:top w:w="90" w:type="dxa"/>
              <w:start w:w="100" w:type="dxa"/>
              <w:bottom w:w="90" w:type="dxa"/>
              <w:end w:w="100" w:type="dxa"/>
            </w:tcMar>
          </w:tcPr>
          <w:p>
            <w:pPr>
              <w:spacing w:after="40"/>
            </w:pPr>
            <w:r>
              <w:rPr>
                <w:rFonts w:ascii="Arial" w:hAnsi="Arial"/>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rFonts w:ascii="Arial" w:hAnsi="Arial"/>
                <w:sz w:val="17"/>
              </w:rPr>
              <w:t>Refresh workforce size, qualification, business structure, region and retirement-profile data.</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Administrative cost</w:t>
            </w:r>
          </w:p>
        </w:tc>
        <w:tc>
          <w:tcPr>
            <w:tcW w:type="dxa" w:w="3816"/>
            <w:vAlign w:val="center"/>
            <w:tcMar>
              <w:top w:w="90" w:type="dxa"/>
              <w:start w:w="100" w:type="dxa"/>
              <w:bottom w:w="90" w:type="dxa"/>
              <w:end w:w="100" w:type="dxa"/>
            </w:tcMar>
          </w:tcPr>
          <w:p>
            <w:pPr>
              <w:spacing w:after="40"/>
            </w:pPr>
            <w:r>
              <w:rPr>
                <w:rFonts w:ascii="Arial" w:hAnsi="Arial"/>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rFonts w:ascii="Arial" w:hAnsi="Arial"/>
                <w:sz w:val="17"/>
              </w:rPr>
              <w:t>Model current BPC systems, staged intake and the cost of credible ongoing enforcement rather than entry processing alone.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Behavioural response</w:t>
            </w:r>
          </w:p>
        </w:tc>
        <w:tc>
          <w:tcPr>
            <w:tcW w:type="dxa" w:w="3816"/>
            <w:vAlign w:val="center"/>
            <w:shd w:fill="F1F6F7"/>
            <w:tcMar>
              <w:top w:w="90" w:type="dxa"/>
              <w:start w:w="100" w:type="dxa"/>
              <w:bottom w:w="90" w:type="dxa"/>
              <w:end w:w="100" w:type="dxa"/>
            </w:tcMar>
          </w:tcPr>
          <w:p>
            <w:pPr>
              <w:spacing w:after="40"/>
            </w:pPr>
            <w:r>
              <w:rPr>
                <w:rFonts w:ascii="Arial" w:hAnsi="Arial"/>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rFonts w:ascii="Arial" w:hAnsi="Arial"/>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Staging and process relief can reduce disruption, but they do not answer whether a restriction is justified. Compare less burdensome controls and narrow, revise or do not introduce additional restrictions where incremental benefit is not established. Where a scheme is justified, use current cost and workforce modelling, lawful continuity, clear role boundaries, independent moderation, regional access and published evaluation. Set feasible review triggers and responsible bodies before commencement; registration numbers alone do not demonstrate success.</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No full-qualification repetition for existing workers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r>
        <w:rPr>
          <w:rFonts w:ascii="Arial" w:hAnsi="Arial"/>
        </w:rPr>
        <w:t>Evaluation should also measure applicant time and cost, transitional backlog, regional access and incremental benefit relative to alternatives. Retain selection, attribution and incomplete-data limitations. Review scope, conditions or implementation where outcomes or burdens depart materially from the model, using feasible triggers and assigned responsibility.</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232"/>
            <w:shd w:fill="244B5A"/>
            <w:vAlign w:val="center"/>
            <w:tcMar>
              <w:top w:w="90" w:type="dxa"/>
              <w:start w:w="100" w:type="dxa"/>
              <w:bottom w:w="90" w:type="dxa"/>
              <w:end w:w="100" w:type="dxa"/>
            </w:tcMar>
          </w:tcPr>
          <w:p>
            <w:r>
              <w:rPr>
                <w:rFonts w:ascii="Arial" w:hAnsi="Arial"/>
                <w:b/>
                <w:color w:val="FFFFFF"/>
                <w:sz w:val="18"/>
              </w:rPr>
              <w:t>Outcome</w:t>
            </w:r>
          </w:p>
        </w:tc>
        <w:tc>
          <w:tcPr>
            <w:tcW w:type="dxa" w:w="7560"/>
            <w:shd w:fill="244B5A"/>
            <w:vAlign w:val="center"/>
            <w:tcMar>
              <w:top w:w="90" w:type="dxa"/>
              <w:start w:w="100" w:type="dxa"/>
              <w:bottom w:w="90" w:type="dxa"/>
              <w:end w:w="100" w:type="dxa"/>
            </w:tcMar>
          </w:tcPr>
          <w:p>
            <w:r>
              <w:rPr>
                <w:rFonts w:ascii="Arial" w:hAnsi="Arial"/>
                <w:b/>
                <w:color w:val="FFFFFF"/>
                <w:sz w:val="18"/>
              </w:rPr>
              <w:t>Example measures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Building quality</w:t>
            </w:r>
          </w:p>
        </w:tc>
        <w:tc>
          <w:tcPr>
            <w:tcW w:type="dxa" w:w="7560"/>
            <w:vAlign w:val="center"/>
            <w:tcMar>
              <w:top w:w="90" w:type="dxa"/>
              <w:start w:w="100" w:type="dxa"/>
              <w:bottom w:w="90" w:type="dxa"/>
              <w:end w:w="100" w:type="dxa"/>
            </w:tcMar>
          </w:tcPr>
          <w:p>
            <w:pPr>
              <w:spacing w:after="40"/>
            </w:pPr>
            <w:r>
              <w:rPr>
                <w:rFonts w:ascii="Arial" w:hAnsi="Arial"/>
                <w:sz w:val="17"/>
              </w:rPr>
              <w:t>Attributed defect rate and severity; rectification orders; recurrence by work type; concealed-work failures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Accountability</w:t>
            </w:r>
          </w:p>
        </w:tc>
        <w:tc>
          <w:tcPr>
            <w:tcW w:type="dxa" w:w="7560"/>
            <w:vAlign w:val="center"/>
            <w:shd w:fill="F1F6F7"/>
            <w:tcMar>
              <w:top w:w="90" w:type="dxa"/>
              <w:start w:w="100" w:type="dxa"/>
              <w:bottom w:w="90" w:type="dxa"/>
              <w:end w:w="100" w:type="dxa"/>
            </w:tcMar>
          </w:tcPr>
          <w:p>
            <w:pPr>
              <w:spacing w:after="40"/>
            </w:pPr>
            <w:r>
              <w:rPr>
                <w:rFonts w:ascii="Arial" w:hAnsi="Arial"/>
                <w:sz w:val="17"/>
              </w:rPr>
              <w:t>Practitioner traceability; complaint resolution; disciplinary timeliness; compliance after education or enforcement</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Skills</w:t>
            </w:r>
          </w:p>
        </w:tc>
        <w:tc>
          <w:tcPr>
            <w:tcW w:type="dxa" w:w="7560"/>
            <w:vAlign w:val="center"/>
            <w:tcMar>
              <w:top w:w="90" w:type="dxa"/>
              <w:start w:w="100" w:type="dxa"/>
              <w:bottom w:w="90" w:type="dxa"/>
              <w:end w:w="100" w:type="dxa"/>
            </w:tcMar>
          </w:tcPr>
          <w:p>
            <w:pPr>
              <w:spacing w:after="40"/>
            </w:pPr>
            <w:r>
              <w:rPr>
                <w:rFonts w:ascii="Arial" w:hAnsi="Arial"/>
                <w:sz w:val="17"/>
              </w:rPr>
              <w:t>Apprenticeship completion; recognition outcomes; gap-training completion; reassessment success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Workforce</w:t>
            </w:r>
          </w:p>
        </w:tc>
        <w:tc>
          <w:tcPr>
            <w:tcW w:type="dxa" w:w="7560"/>
            <w:vAlign w:val="center"/>
            <w:shd w:fill="F1F6F7"/>
            <w:tcMar>
              <w:top w:w="90" w:type="dxa"/>
              <w:start w:w="100" w:type="dxa"/>
              <w:bottom w:w="90" w:type="dxa"/>
              <w:end w:w="100" w:type="dxa"/>
            </w:tcMar>
          </w:tcPr>
          <w:p>
            <w:pPr>
              <w:spacing w:after="40"/>
            </w:pPr>
            <w:r>
              <w:rPr>
                <w:rFonts w:ascii="Arial" w:hAnsi="Arial"/>
                <w:sz w:val="17"/>
              </w:rPr>
              <w:t>Active practitioners; exits; regional shortages; processing delay; cost and time burden; illegal-work indicators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Consumer confidence</w:t>
            </w:r>
          </w:p>
        </w:tc>
        <w:tc>
          <w:tcPr>
            <w:tcW w:type="dxa" w:w="7560"/>
            <w:vAlign w:val="center"/>
            <w:tcMar>
              <w:top w:w="90" w:type="dxa"/>
              <w:start w:w="100" w:type="dxa"/>
              <w:bottom w:w="90" w:type="dxa"/>
              <w:end w:w="100" w:type="dxa"/>
            </w:tcMar>
          </w:tcPr>
          <w:p>
            <w:pPr>
              <w:spacing w:after="40"/>
            </w:pPr>
            <w:r>
              <w:rPr>
                <w:rFonts w:ascii="Arial" w:hAnsi="Arial"/>
                <w:sz w:val="17"/>
              </w:rPr>
              <w:t>Understanding of scope; ability to verify status; complaints about misleading authority; survey confidence</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System performance</w:t>
            </w:r>
          </w:p>
        </w:tc>
        <w:tc>
          <w:tcPr>
            <w:tcW w:type="dxa" w:w="7560"/>
            <w:vAlign w:val="center"/>
            <w:shd w:fill="F1F6F7"/>
            <w:tcMar>
              <w:top w:w="90" w:type="dxa"/>
              <w:start w:w="100" w:type="dxa"/>
              <w:bottom w:w="90" w:type="dxa"/>
              <w:end w:w="100" w:type="dxa"/>
            </w:tcMar>
          </w:tcPr>
          <w:p>
            <w:pPr>
              <w:spacing w:after="40"/>
            </w:pPr>
            <w:r>
              <w:rPr>
                <w:rFonts w:ascii="Arial" w:hAnsi="Arial"/>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r>
        <w:rPr>
          <w:rFonts w:ascii="Arial" w:hAnsi="Arial"/>
        </w:rPr>
        <w:t>These are materials available for discussion, not a list of attachments supplied with this draft. External distribution of sensitive assessment content requires separate clearance; none of the instruments is presented as a validated regulatory assessment.</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materials are capability-first and vehicle-neutral. They do not presume that RRC is the preferred regulatory mechanism, do not criticise current DB-L practitioners, and do not claim government or regulator endorsement.</w:t>
      </w:r>
    </w:p>
    <w:p>
      <w:pPr>
        <w:pStyle w:val="Heading1"/>
        <w:keepNext/>
      </w:pPr>
      <w:r>
        <w:rPr>
          <w:rFonts w:ascii="Arial" w:hAnsi="Arial"/>
        </w:rPr>
        <w:t>Conclusion</w:t>
      </w:r>
    </w:p>
    <w:p>
      <w:r>
        <w:rPr>
          <w:rFonts w:ascii="Arial" w:hAnsi="Arial"/>
        </w:rPr>
        <w:t>Victoria has a credible opportunity to improve accountability and occupational clarity while preserving workforce capability. This initiative recommends a residential-only carpenter baseline, with proportionate work-and-risk requirements, technical competence separated from contracting authority, reliable recognition of existing competence and clear builder and specialist boundaries. Advanced residential capability remains a separate progression question. Retain alternatives where evidence shows better coverage, enforceability or transition outcomes.</w:t>
      </w:r>
    </w:p>
    <w:p>
      <w:r>
        <w:rPr>
          <w:rFonts w:ascii="Arial" w:hAnsi="Arial"/>
        </w:rPr>
        <w:t>If the evidence justifies minimum trade regulation, implement it with clear competence, authority, transition and evaluation arrangements. Preserve advanced residential capability as a subsequent, bounded evidence question and a potential career progression pathway. If recognition is justified, define its function, scope, assessment and controls before choosing the title or statutory vehicle. If existing pathways or less restrictive measures address the problem, retain them.</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spacing w:after="80"/>
      </w:pPr>
      <w:r>
        <w:rPr>
          <w:rFonts w:ascii="Arial" w:hAnsi="Arial"/>
        </w:rPr>
        <w:t>Project working documents are listed under Material offered for further discussion.</w:t>
      </w:r>
    </w:p>
    <w:p>
      <w:pPr>
        <w:pStyle w:val="ListNumber"/>
      </w:pPr>
      <w:r>
        <w:rPr>
          <w:rFonts w:ascii="Arial" w:hAnsi="Arial"/>
        </w:rPr>
        <w:t>Carpenters for Housing Reform Victoria, DTP Carpentry Consultation Meeting Record, 29 September 2026, v0.1, docs/evidence/dtp-carpentry-consultation-meeting-record-2026-09-29-v0.1.md. Partial transcript approximately 00:28–10:55; structured record and summary separately classified. [5]</w:t>
      </w:r>
    </w:p>
    <w:p>
      <w:pPr>
        <w:pStyle w:val="ListNumber"/>
      </w:pPr>
      <w:r>
        <w:rPr>
          <w:rFonts w:ascii="Arial" w:hAnsi="Arial"/>
        </w:rPr>
        <w:t>Department of Transport and Planning, Implementing trades registration &amp; licensing, seven-slide consultation presentation supplied as Trades Registration - Slidedeck.pdf and circulated with the 6 October email. Slides 2–6 cited by number. No visible publication date. [6]</w:t>
      </w:r>
    </w:p>
    <w:p>
      <w:pPr>
        <w:pStyle w:val="ListNumber"/>
      </w:pPr>
      <w:r>
        <w:rPr>
          <w:rFonts w:ascii="Arial" w:hAnsi="Arial"/>
        </w:rPr>
        <w:t>Building Policy and Reform, Department of Transport and Planning, email dated 6 October 2026, 1:13 pm, Thank you for attending the trades registration and licensing consultation session, building.policy@transport.vic.gov.au. Departmental synthesis supplied as five screenshots; not a transcript or final policy decision. [7]</w:t>
      </w:r>
    </w:p>
    <w:p>
      <w:pPr>
        <w:pStyle w:val="ListNumber"/>
      </w:pPr>
      <w:r>
        <w:rPr>
          <w:rFonts w:ascii="Arial" w:hAnsi="Arial"/>
        </w:rPr>
        <w:t>Building and Plumbing Commission, Licensing and registration reforms, accessed 7 October 2026, https://www.bpc.vic.gov.au/resource-hub/industry-updates/licensing-and-registration-reforms. General operating-model guidance; not a future carpenter assessment specification. [8]</w:t>
      </w:r>
    </w:p>
    <w:p>
      <w:pPr>
        <w:pStyle w:val="ListNumber"/>
      </w:pPr>
      <w:r>
        <w:rPr>
          <w:rFonts w:ascii="Arial" w:hAnsi="Arial"/>
        </w:rPr>
        <w:t>Courtney Gleeson, Communications and Engagement Manager – Building, Department of Transport and Planning, reply to Dan Sonsie’s email of 7 October 2026, 9:44 pm; reply text supplied by Dan on 8 October 2026. Incoming date not supplied. Refers to historical RIS sections 1.3, 1.3.2, 3.3.4, 3.3.4.1 and Chapter 2; continuing-discussion contact pending. [9]</w:t>
      </w:r>
    </w:p>
    <w:p>
      <w:pPr>
        <w:pStyle w:val="ListNumber"/>
      </w:pPr>
      <w:r>
        <w:rPr>
          <w:rFonts w:ascii="Arial" w:hAnsi="Arial"/>
        </w:rPr>
        <w:t>Domestic Building Contracts Act 1995, authorised version 094 incorporating amendments as at 1 July 2026, sections 3 and 29; checked 8 October 2026. https://www.legislation.vic.gov.au/in-force/acts/domestic-building-contracts-act-1995/094 [10]</w:t>
      </w:r>
    </w:p>
    <w:p>
      <w:pPr>
        <w:pStyle w:val="ListNumber"/>
      </w:pPr>
      <w:r>
        <w:rPr>
          <w:rFonts w:ascii="Arial" w:hAnsi="Arial"/>
        </w:rPr>
        <w:t>Domestic Building Contracts Regulations 2017, authorised version 004, regulation 6; checked 8 October 2026. https://www.legislation.vic.gov.au/in-force/statutory-rules/domestic-building-contracts-regulations-2017/004 [11]</w:t>
      </w:r>
    </w:p>
    <w:p>
      <w:pPr>
        <w:pStyle w:val="ListNumber"/>
      </w:pPr>
      <w:r>
        <w:rPr>
          <w:rFonts w:ascii="Arial" w:hAnsi="Arial"/>
        </w:rPr>
        <w:t>Department of Transport and Planning, Notice of Preparation of Regulatory Impact Statement, Proposed Domestic Building Contracts Amendment Regulations 2026, 18 August 2026; proposed $20,000 threshold, not an operative change. https://www.vic.gov.au/notice-preparation-regulatory-impact-statement-24 [12]</w:t>
      </w:r>
    </w:p>
    <w:p>
      <w:r>
        <w:rPr>
          <w:rFonts w:ascii="Arial" w:hAnsi="Arial"/>
        </w:rPr>
        <w:br w:type="page"/>
      </w:r>
    </w:p>
    <w:p>
      <w:pPr>
        <w:pStyle w:val="Heading1"/>
        <w:keepNext/>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448"/>
            <w:shd w:fill="244B5A"/>
            <w:vAlign w:val="center"/>
            <w:tcMar>
              <w:top w:w="90" w:type="dxa"/>
              <w:start w:w="100" w:type="dxa"/>
              <w:bottom w:w="90" w:type="dxa"/>
              <w:end w:w="100" w:type="dxa"/>
            </w:tcMar>
          </w:tcPr>
          <w:p>
            <w:r>
              <w:rPr>
                <w:rFonts w:ascii="Arial" w:hAnsi="Arial"/>
                <w:b/>
                <w:color w:val="FFFFFF"/>
                <w:sz w:val="18"/>
              </w:rPr>
              <w:t>Field</w:t>
            </w:r>
          </w:p>
        </w:tc>
        <w:tc>
          <w:tcPr>
            <w:tcW w:type="dxa" w:w="7344"/>
            <w:shd w:fill="244B5A"/>
            <w:vAlign w:val="center"/>
            <w:tcMar>
              <w:top w:w="90" w:type="dxa"/>
              <w:start w:w="100" w:type="dxa"/>
              <w:bottom w:w="90" w:type="dxa"/>
              <w:end w:w="100" w:type="dxa"/>
            </w:tcMar>
          </w:tcPr>
          <w:p>
            <w:r>
              <w:rPr>
                <w:rFonts w:ascii="Arial" w:hAnsi="Arial"/>
                <w:b/>
                <w:color w:val="FFFFFF"/>
                <w:sz w:val="18"/>
              </w:rPr>
              <w:t>Value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Version</w:t>
            </w:r>
          </w:p>
        </w:tc>
        <w:tc>
          <w:tcPr>
            <w:tcW w:type="dxa" w:w="7344"/>
            <w:vAlign w:val="center"/>
            <w:tcMar>
              <w:top w:w="90" w:type="dxa"/>
              <w:start w:w="100" w:type="dxa"/>
              <w:bottom w:w="90" w:type="dxa"/>
              <w:end w:w="100" w:type="dxa"/>
            </w:tcMar>
          </w:tcPr>
          <w:p>
            <w:r>
              <w:rPr>
                <w:rFonts w:ascii="Arial" w:hAnsi="Arial"/>
              </w:rPr>
              <w:t>0.4 Review 4</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Status</w:t>
            </w:r>
          </w:p>
        </w:tc>
        <w:tc>
          <w:tcPr>
            <w:tcW w:type="dxa" w:w="7344"/>
            <w:vAlign w:val="center"/>
            <w:shd w:fill="F1F6F7"/>
            <w:tcMar>
              <w:top w:w="90" w:type="dxa"/>
              <w:start w:w="100" w:type="dxa"/>
              <w:bottom w:w="90" w:type="dxa"/>
              <w:end w:w="100" w:type="dxa"/>
            </w:tcMar>
          </w:tcPr>
          <w:p>
            <w:pPr>
              <w:spacing w:after="40"/>
            </w:pPr>
            <w:r>
              <w:rPr>
                <w:rFonts w:ascii="Arial" w:hAnsi="Arial"/>
                <w:sz w:val="17"/>
              </w:rPr>
              <w:t>Working draft for review; not submitted</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Author</w:t>
            </w:r>
          </w:p>
        </w:tc>
        <w:tc>
          <w:tcPr>
            <w:tcW w:type="dxa" w:w="7344"/>
            <w:vAlign w:val="center"/>
            <w:tcMar>
              <w:top w:w="90" w:type="dxa"/>
              <w:start w:w="100" w:type="dxa"/>
              <w:bottom w:w="90" w:type="dxa"/>
              <w:end w:w="100" w:type="dxa"/>
            </w:tcMar>
          </w:tcPr>
          <w:p>
            <w:pPr>
              <w:spacing w:after="40"/>
            </w:pPr>
            <w:r>
              <w:rPr>
                <w:rFonts w:ascii="Arial" w:hAnsi="Arial"/>
                <w:sz w:val="17"/>
              </w:rPr>
              <w:t>Carpenters for Housing Reform Victoria</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Evidence custodian</w:t>
            </w:r>
          </w:p>
        </w:tc>
        <w:tc>
          <w:tcPr>
            <w:tcW w:type="dxa" w:w="7344"/>
            <w:vAlign w:val="center"/>
            <w:shd w:fill="F1F6F7"/>
            <w:tcMar>
              <w:top w:w="90" w:type="dxa"/>
              <w:start w:w="100" w:type="dxa"/>
              <w:bottom w:w="90" w:type="dxa"/>
              <w:end w:w="100" w:type="dxa"/>
            </w:tcMar>
          </w:tcPr>
          <w:p>
            <w:pPr>
              <w:spacing w:after="40"/>
            </w:pPr>
            <w:r>
              <w:rPr>
                <w:rFonts w:ascii="Arial" w:hAnsi="Arial"/>
                <w:sz w:val="17"/>
              </w:rPr>
              <w:t>Dan Sonsie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Prepared</w:t>
            </w:r>
          </w:p>
        </w:tc>
        <w:tc>
          <w:tcPr>
            <w:tcW w:type="dxa" w:w="7344"/>
            <w:vAlign w:val="center"/>
            <w:tcMar>
              <w:top w:w="90" w:type="dxa"/>
              <w:start w:w="100" w:type="dxa"/>
              <w:bottom w:w="90" w:type="dxa"/>
              <w:end w:w="100" w:type="dxa"/>
            </w:tcMar>
          </w:tcPr>
          <w:p>
            <w:r>
              <w:rPr>
                <w:rFonts w:ascii="Arial" w:hAnsi="Arial"/>
              </w:rPr>
              <w:t>8 October 2026; evolved from unchanged v0.3 dated 15 September 2026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Submission deadline</w:t>
            </w:r>
          </w:p>
        </w:tc>
        <w:tc>
          <w:tcPr>
            <w:tcW w:type="dxa" w:w="7344"/>
            <w:vAlign w:val="center"/>
            <w:shd w:fill="F1F6F7"/>
            <w:tcMar>
              <w:top w:w="90" w:type="dxa"/>
              <w:start w:w="100" w:type="dxa"/>
              <w:bottom w:w="90" w:type="dxa"/>
              <w:end w:w="100" w:type="dxa"/>
            </w:tcMar>
          </w:tcPr>
          <w:p>
            <w:pPr>
              <w:spacing w:after="40"/>
            </w:pPr>
            <w:r>
              <w:rPr>
                <w:rFonts w:ascii="Arial" w:hAnsi="Arial"/>
                <w:sz w:val="17"/>
              </w:rPr>
              <w:t>11 October 2026</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External endorsement</w:t>
            </w:r>
          </w:p>
        </w:tc>
        <w:tc>
          <w:tcPr>
            <w:tcW w:type="dxa" w:w="7344"/>
            <w:vAlign w:val="center"/>
            <w:tcMar>
              <w:top w:w="90" w:type="dxa"/>
              <w:start w:w="100" w:type="dxa"/>
              <w:bottom w:w="90" w:type="dxa"/>
              <w:end w:w="100" w:type="dxa"/>
            </w:tcMar>
          </w:tcPr>
          <w:p>
            <w:pPr>
              <w:spacing w:after="40"/>
            </w:pPr>
            <w:r>
              <w:rPr>
                <w:rFonts w:ascii="Arial" w:hAnsi="Arial"/>
                <w:sz w:val="17"/>
              </w:rPr>
              <w:t>None claimed</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Next gate</w:t>
            </w:r>
          </w:p>
        </w:tc>
        <w:tc>
          <w:tcPr>
            <w:tcW w:type="dxa" w:w="7344"/>
            <w:vAlign w:val="center"/>
            <w:shd w:fill="F1F6F7"/>
            <w:tcMar>
              <w:top w:w="90" w:type="dxa"/>
              <w:start w:w="100" w:type="dxa"/>
              <w:bottom w:w="90" w:type="dxa"/>
              <w:end w:w="100" w:type="dxa"/>
            </w:tcMar>
          </w:tcPr>
          <w:p>
            <w:r>
              <w:rPr>
                <w:rFonts w:ascii="Arial" w:hAnsi="Arial"/>
              </w:rPr>
              <w:t>D01, D02 and D03 approved for controlled drafting. Legal, policy, economic and practitioner review; final policy and source checks; explicit approval before submission or publication.</w:t>
            </w:r>
          </w:p>
        </w:tc>
      </w:tr>
      <w:tr>
        <w:trPr>
          <w:cantSplit/>
        </w:trPr>
        <w:tc>
          <w:tcPr>
            <w:tcW w:type="dxa" w:w="4997"/>
          </w:tcPr>
          <w:p>
            <w:r>
              <w:rPr>
                <w:rFonts w:ascii="Arial" w:hAnsi="Arial"/>
              </w:rPr>
              <w:t>Drafting authority</w:t>
            </w:r>
          </w:p>
        </w:tc>
        <w:tc>
          <w:tcPr>
            <w:tcW w:type="dxa" w:w="4997"/>
          </w:tcPr>
          <w:p>
            <w:r>
              <w:rPr>
                <w:rFonts w:ascii="Arial" w:hAnsi="Arial"/>
              </w:rPr>
              <w:t>Dan authorised continuation following change-map review on 7 October 2026. No merge, publication, submission or sending authority implied.</w:t>
            </w:r>
          </w:p>
        </w:tc>
      </w:tr>
      <w:tr>
        <w:tc>
          <w:tcPr>
            <w:tcW w:type="dxa" w:w="4997"/>
          </w:tcPr>
          <w:p>
            <w:r>
              <w:rPr>
                <w:rFonts w:ascii="Arial" w:hAnsi="Arial"/>
              </w:rPr>
              <w:t>Scope decision</w:t>
            </w:r>
          </w:p>
        </w:tc>
        <w:tc>
          <w:tcPr>
            <w:tcW w:type="dxa" w:w="4997"/>
          </w:tcPr>
          <w:p>
            <w:r>
              <w:rPr>
                <w:rFonts w:ascii="Arial" w:hAnsi="Arial"/>
              </w:rPr>
              <w:t>Dan approved a residential-only baseline on 7 October 2026. Government adoption is not claimed; specialist, mixed-use and statutory boundaries require review.</w:t>
            </w:r>
          </w:p>
        </w:tc>
      </w:tr>
      <w:tr>
        <w:tc>
          <w:tcPr>
            <w:tcW w:type="dxa" w:w="4997"/>
          </w:tcPr>
          <w:p>
            <w:r>
              <w:rPr>
                <w:rFonts w:ascii="Arial" w:hAnsi="Arial"/>
              </w:rPr>
              <w:t>Role decision</w:t>
            </w:r>
          </w:p>
        </w:tc>
        <w:tc>
          <w:tcPr>
            <w:tcW w:type="dxa" w:w="4997"/>
          </w:tcPr>
          <w:p>
            <w:r>
              <w:rPr>
                <w:rFonts w:ascii="Arial" w:hAnsi="Arial"/>
              </w:rPr>
              <w:t>Dan approved common technical competence with separate role requirements on 7 October 2026. No new consumer-contracting or builder authority implied; statutory terminology remains subject to review.</w:t>
            </w:r>
          </w:p>
        </w:tc>
      </w:tr>
      <w:tr>
        <w:tc>
          <w:tcPr>
            <w:tcW w:type="dxa" w:w="4997"/>
          </w:tcPr>
          <w:p>
            <w:r>
              <w:rPr>
                <w:rFonts w:ascii="Arial" w:hAnsi="Arial"/>
              </w:rPr>
              <w:t>Entry decision</w:t>
            </w:r>
          </w:p>
        </w:tc>
        <w:tc>
          <w:tcPr>
            <w:tcW w:type="dxa" w:w="4997"/>
          </w:tcPr>
          <w:p>
            <w:r>
              <w:rPr>
                <w:rFonts w:ascii="Arial" w:hAnsi="Arial"/>
              </w:rPr>
              <w:t>Dan approved future entrant apprenticeship plus Certificate III, with verified existing-worker equivalence and targeted gap training, on 8 October 2026. Government adoption is not claimed.</w:t>
            </w:r>
          </w:p>
        </w:tc>
      </w:tr>
      <w:tr>
        <w:tc>
          <w:tcPr>
            <w:tcW w:type="dxa" w:w="4997"/>
          </w:tcPr>
          <w:p>
            <w:r>
              <w:rPr>
                <w:rFonts w:ascii="Arial" w:hAnsi="Arial"/>
              </w:rPr>
              <w:t>Departmental reply</w:t>
            </w:r>
          </w:p>
        </w:tc>
        <w:tc>
          <w:tcPr>
            <w:tcW w:type="dxa" w:w="4997"/>
          </w:tcPr>
          <w:p>
            <w:r>
              <w:rPr>
                <w:rFonts w:ascii="Arial" w:hAnsi="Arial"/>
              </w:rPr>
              <w:t>Reply supplied 8 October 2026. Historical RIS status retained; $20,000 contract threshold remains proposed; contact for capability and wet-area discussion pending.</w:t>
            </w:r>
          </w:p>
        </w:tc>
      </w:tr>
    </w:tbl>
    <w:p>
      <w:pPr>
        <w:spacing w:after="20"/>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Carpenters for Housing Reform Victoria | v0.4 Review 4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working draft version 0.4 Review 4</dc:subject>
  <dc:creator>Carpenters for Housing Reform Victoria</dc:creator>
  <cp:keywords/>
  <dc:description>Controlled Review 4; not submitted; D01 D02 D03 drafting approvals recorded.</dc:description>
  <cp:lastModifiedBy/>
  <cp:revision>1</cp:revision>
  <dcterms:created xsi:type="dcterms:W3CDTF">2013-12-23T23:15:00Z</dcterms:created>
  <dcterms:modified xsi:type="dcterms:W3CDTF">2013-12-23T23:15:00Z</dcterms:modified>
  <cp:category/>
</cp:coreProperties>
</file>