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Consultation Review 5 Change Record</w:t>
      </w:r>
    </w:p>
    <w:p>
      <w:pPr>
        <w:pStyle w:val="Subtitle"/>
      </w:pPr>
      <w:r>
        <w:rPr>
          <w:rFonts w:ascii="Arial" w:hAnsi="Arial"/>
        </w:rPr>
        <w:t>10 October 2026 | Questions 4 6 and 7 interview</w:t>
      </w:r>
    </w:p>
    <w:p>
      <w:r>
        <w:rPr>
          <w:rFonts w:ascii="Arial" w:hAnsi="Arial"/>
        </w:rPr>
        <w:t>Review 5 evolves the unchanged Review 4 draft using Dan’s interview answers. It preserves v0.3, the 13 consultation responses, contrary evidence and the historical financial analysis. Dan authorised drafting on 10 October; final submission and publication approval remain outstanding.</w:t>
      </w:r>
    </w:p>
    <w:p>
      <w:pPr>
        <w:pStyle w:val="Heading1"/>
      </w:pPr>
      <w:r>
        <w:rPr>
          <w:rFonts w:ascii="Arial" w:hAnsi="Arial"/>
        </w:rPr>
        <w:t>Question 4 Routine work and discovery</w:t>
      </w:r>
    </w:p>
    <w:p>
      <w:r>
        <w:rPr>
          <w:rFonts w:ascii="Arial" w:hAnsi="Arial"/>
        </w:rPr>
        <w:t>Keep low-value jobs administratively simple without implying exemption from existing legal duties. Rot alone does not require specialist referral; unresolved safety, design, lawful authority or approvals can. Assess residential outdoor carpentry examples separately. Apply timber-selection and permit rules rather than blanket imperial-to-metric, larger-is-safe or below-one-metre exemptions.</w:t>
      </w:r>
    </w:p>
    <w:p>
      <w:pPr>
        <w:pStyle w:val="Heading1"/>
      </w:pPr>
      <w:r>
        <w:rPr>
          <w:rFonts w:ascii="Arial" w:hAnsi="Arial"/>
        </w:rPr>
        <w:t>Question 6 Roles and progression</w:t>
      </w:r>
    </w:p>
    <w:p>
      <w:r>
        <w:rPr>
          <w:rFonts w:ascii="Arial" w:hAnsi="Arial"/>
        </w:rPr>
        <w:t>Retain common technical competence for the same work. Add relevant requirements for independent business operation. Examine optional assessed modules for bounded residential work and possible additional authority. Preserve builder and specialist responsibilities, direct builder entry and mechanism neutrality; RRC remains one option. Proposed $30,000–$50,000 caps were withdrawn from selection pending proper assessment.</w:t>
      </w:r>
    </w:p>
    <w:p>
      <w:pPr>
        <w:pStyle w:val="Heading1"/>
      </w:pPr>
      <w:r>
        <w:rPr>
          <w:rFonts w:ascii="Arial" w:hAnsi="Arial"/>
        </w:rPr>
        <w:t>Question 7 Entry and existing workers</w:t>
      </w:r>
    </w:p>
    <w:p>
      <w:r>
        <w:rPr>
          <w:rFonts w:ascii="Arial" w:hAnsi="Arial"/>
        </w:rPr>
        <w:t>Completed apprenticeship and Certificate III normally establish baseline technical competence for future entrants. Avoid unnecessary repeat full-trade tests. A short licensing module or exam remains an option requiring justification. Existing workers with missing records may use verified work history, references and practical assessment, completing targeted training where gaps are demonstrated.</w:t>
      </w:r>
    </w:p>
    <w:p>
      <w:pPr>
        <w:pStyle w:val="Heading1"/>
      </w:pPr>
      <w:r>
        <w:rPr>
          <w:rFonts w:ascii="Arial" w:hAnsi="Arial"/>
        </w:rPr>
        <w:t>Short duration advertising</w:t>
      </w:r>
    </w:p>
    <w:p>
      <w:r>
        <w:rPr>
          <w:rFonts w:ascii="Arial" w:hAnsi="Arial"/>
        </w:rPr>
        <w:t>DLI Training describes an approximately three-month RPL process based on existing evidence, with gap training if needed. National Skills separately lists three months for RPL and a 24-month course enrolment. These examples do not prove three-month novice training or provider misconduct. ASQA supports reliable evidence-based recognition and warns against inadequate assessment and misleading marketing. Retain legitimate RPL while addressing demonstrated failures.</w:t>
      </w:r>
    </w:p>
    <w:p>
      <w:pPr>
        <w:pStyle w:val="Heading1"/>
      </w:pPr>
      <w:r>
        <w:rPr>
          <w:rFonts w:ascii="Arial" w:hAnsi="Arial"/>
        </w:rPr>
        <w:t>Factual corrections retained</w:t>
      </w:r>
    </w:p>
    <w:p>
      <w:r>
        <w:rPr>
          <w:rFonts w:ascii="Arial" w:hAnsi="Arial"/>
        </w:rPr>
        <w:t>H3 concerns exterior above-ground exposure, not general ground-contact permission. Treatment class and strength grade are different. Ground-contact requirements depend on the application. Timber substitutions must suit the actual grade, spans, loads, connections and exposure. A barrier threshold is not a building-permit exemption. Home ownership as a general builder-registration requirement was not verified and is not claimed.</w:t>
      </w:r>
    </w:p>
    <w:p>
      <w:pPr>
        <w:pStyle w:val="Heading1"/>
      </w:pPr>
      <w:r>
        <w:rPr>
          <w:rFonts w:ascii="Arial" w:hAnsi="Arial"/>
        </w:rPr>
        <w:t>Outstanding checks before submission</w:t>
      </w:r>
    </w:p>
    <w:p>
      <w:r>
        <w:rPr>
          <w:rFonts w:ascii="Arial" w:hAnsi="Arial"/>
        </w:rPr>
        <w:t>Confirm final contract regulations and timing; carpenter-scheme eligibility, terminology and commencement; work-specific outdoor and mixed-use boundaries; applicable insurance and corporate requirements; qualification transition and current renovation/demolition coverage; any rationale for extra licensing assessment or monetary limits. Retain workforce-methodology and defect-attribution limitations and the pending wet-area contact. No source referral is government endorsement.</w:t>
      </w:r>
    </w:p>
    <w:p>
      <w:pPr>
        <w:pStyle w:val="Heading1"/>
      </w:pPr>
      <w:r>
        <w:rPr>
          <w:rFonts w:ascii="Arial" w:hAnsi="Arial"/>
        </w:rPr>
        <w:t>Next gate and version control</w:t>
      </w:r>
    </w:p>
    <w:p>
      <w:r>
        <w:rPr>
          <w:rFonts w:ascii="Arial" w:hAnsi="Arial"/>
        </w:rPr>
        <w:t>Review the changed responses and approve the final submission separately. This pair is still a working draft. Earlier Review 3 and Review 4 transfer packages are historical checkpoints, not the current Review 5. No GitHub import, merge, deployment, publication, lodgement or outreach is claimed by this document.</w:t>
      </w:r>
    </w:p>
    <w:p>
      <w:pPr>
        <w:pStyle w:val="Heading1"/>
      </w:pPr>
      <w:r>
        <w:rPr>
          <w:rFonts w:ascii="Arial" w:hAnsi="Arial"/>
        </w:rPr>
        <w:t>Sources checked 10 October 2026</w:t>
      </w:r>
    </w:p>
    <w:p>
      <w:r>
        <w:rPr>
          <w:rFonts w:ascii="Arial" w:hAnsi="Arial"/>
        </w:rPr>
        <w:t>BPC Landscaping: https://www.bpc.vic.gov.au/home-owners/home-renovation-and-building-essentials/landscaping</w:t>
      </w:r>
    </w:p>
    <w:p>
      <w:r>
        <w:rPr>
          <w:rFonts w:ascii="Arial" w:hAnsi="Arial"/>
        </w:rPr>
        <w:t>WoodSolutions Domestic Timber Deck Design: https://www.woodsolutions.com.au/publications/domestic-timber-deck-design</w:t>
      </w:r>
    </w:p>
    <w:p>
      <w:r>
        <w:rPr>
          <w:rFonts w:ascii="Arial" w:hAnsi="Arial"/>
        </w:rPr>
        <w:t>ASQA Recognition of prior learning: https://www.asqa.gov.au/for-students/credit-transfer-and-recognition-prior-learning</w:t>
      </w:r>
    </w:p>
    <w:p>
      <w:r>
        <w:rPr>
          <w:rFonts w:ascii="Arial" w:hAnsi="Arial"/>
        </w:rPr>
        <w:t>Provider descriptions: https://www.dlitraining.edu.au/certificate-iii-in-carpentry/ and https://lms.nationalskills.com.au/qualifications/cpc30220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