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version 0.4 Review 7</w:t>
      </w:r>
    </w:p>
    <w:p>
      <w:r>
        <w:rPr>
          <w:rFonts w:ascii="Arial" w:hAnsi="Arial"/>
        </w:rPr>
        <w:t>Prepared by Carpenters for Housing Reform Victoria</w:t>
      </w:r>
    </w:p>
    <w:p>
      <w:r>
        <w:rPr>
          <w:rFonts w:ascii="Arial" w:hAnsi="Arial"/>
        </w:rPr>
        <w:t>Submitted by Dan Sonsie, founder and evidence custodian</w:t>
      </w:r>
    </w:p>
    <w:p>
      <w:r>
        <w:rPr>
          <w:rFonts w:ascii="Arial" w:hAnsi="Arial"/>
        </w:rPr>
        <w:t>10 October 2026</w:t>
      </w:r>
    </w:p>
    <w:p/>
    <w:p>
      <w:pPr/>
      <w:r>
        <w:rPr>
          <w:rFonts w:ascii="Arial" w:hAnsi="Arial"/>
        </w:rPr>
        <w:t>Evidence review status: Original v0.3 audit controls retained. This candidate incorporates Dan’s approved directions, departmental correspondence and targeted primary-source checks. Historical evidence is separately attributed. Unsettled carpenter-scheme scope, assessment, insurance and commencement settings are treated as matters for consultation, not adopted law. Independent legal, policy, economic and practitioner review has not been completed.</w:t>
      </w:r>
    </w:p>
    <w:p>
      <w:r>
        <w:rPr>
          <w:rFonts w:ascii="Arial" w:hAnsi="Arial"/>
          <w:b/>
        </w:rPr>
        <w:t>Submission status: Prepared for Dan’s final approval. Not submitted.</w:t>
      </w:r>
    </w:p>
    <w:p>
      <w:r>
        <w:rPr>
          <w:rFonts w:ascii="Arial" w:hAnsi="Arial"/>
          <w:b/>
        </w:rPr>
        <w:t>Closing date:</w:t>
      </w:r>
      <w:r>
        <w:rPr>
          <w:rFonts w:ascii="Arial" w:hAnsi="Arial"/>
        </w:rPr>
        <w:t xml:space="preserve"> Sunday 11 October 2026.</w:t>
      </w:r>
    </w:p>
    <w:p/>
    <w:p>
      <w:r>
        <w:rPr>
          <w:rFonts w:ascii="Arial" w:hAnsi="Arial"/>
        </w:rPr>
        <w:t>This submission supports proportionate competence and accountability requirements where evidence establishes material risk, a limitation in existing controls and an incremental public benefit. It distinguishes minimum trade competence from advanced residential capability and preserves evidence-based career progression. The choice of regulatory mechanism should follow the function, evidence and implementation test.</w:t>
      </w:r>
    </w:p>
    <w:p>
      <w:r>
        <w:rPr>
          <w:rFonts w:ascii="Arial" w:hAnsi="Arial"/>
        </w:rPr>
        <w:t>I am Dan Sonsie, founder of Carpenters for Housing Reform Victoria and a practising carpenter with approximately 20 years’ experience. This submission draws on my firsthand carpentry experience and longstanding informal discussions with industry colleagues; it does not claim their formal endorsement or to represent every Victorian carpenter.</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conditionally supports minimum competence and accountability requirements for regulated carpentry work. The scope should be justified by attributable risk, the limitations of existing controls, the likely incremental benefit and the cost to workers, businesses and consumers. A simpler or narrower intervention should be preferred where it achieves the required outcome.</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This initiative proposes Registered Residential Carpenter (RRC) as a candidate for a bounded advanced-capability pilot. The pilot should test the need and benefit before wider rollout. An endorsement, revised existing class, additional class, non-statutory credential or no additional mechanism remain alternatives; the final statutory vehicle is not predetermined.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Test a residential carpenter baseline before additional recognition layers. Compare a clear work-and-risk-based residential scope with alignment to relevant existing domestic builder classes and any justified specialist requirements. Publish the scope, evidence and burden comparison before selecting the regulatory mechanism.</w:t>
      </w:r>
    </w:p>
    <w:p>
      <w:pPr>
        <w:spacing w:after="60"/>
        <w:ind w:left="374" w:hanging="259"/>
      </w:pPr>
      <w:r>
        <w:rPr>
          <w:rFonts w:ascii="Arial" w:hAnsi="Arial"/>
        </w:rPr>
        <w:t>• Apply a common technical competence standard to employees and subcontractors performing the same prescribed residential work. Add separate role requirements for relevant business, contracting, probity, financial and insurance responsibilities where justified by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with verified competence, targeted gap training and controls matched to identified gaps. Model staged commencement and provisional recognition against alternatives before setting duration and conditions.</w:t>
      </w:r>
    </w:p>
    <w:p>
      <w:pPr>
        <w:spacing w:after="60"/>
        <w:ind w:left="374" w:hanging="259"/>
      </w:pPr>
      <w:r>
        <w:rPr>
          <w:rFonts w:ascii="Arial" w:hAnsi="Arial"/>
        </w:rPr>
        <w:t>• For future entrants, use completed carpentry apprenticeship and Certificate III evidence to establish baseline technical competence. For existing workers, recognise reliably verified equivalent competence and address identified gaps. Avoid duplicate whole-of-trade testing where reliable outcomes are already demonstrated; justify any additional licensing assessment by its specific purpose.</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Recommend independent operational testing of assessment and transition processes before full commencement, including regional access, processing time, cost and assessor calibration. This recommendation does not activate the initiative’s pilot or instruments.</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656"/>
            <w:shd w:fill="244B5A"/>
            <w:vAlign w:val="center"/>
            <w:tcMar>
              <w:top w:w="90" w:type="dxa"/>
              <w:start w:w="100" w:type="dxa"/>
              <w:bottom w:w="90" w:type="dxa"/>
              <w:end w:w="100" w:type="dxa"/>
            </w:tcMar>
          </w:tcPr>
          <w:p>
            <w:r>
              <w:rPr>
                <w:rFonts w:ascii="Arial" w:hAnsi="Arial"/>
                <w:b/>
                <w:color w:val="FFFFFF"/>
                <w:sz w:val="18"/>
              </w:rPr>
              <w:t>Issue</w:t>
            </w:r>
          </w:p>
        </w:tc>
        <w:tc>
          <w:tcPr>
            <w:tcW w:type="dxa" w:w="3672"/>
            <w:shd w:fill="244B5A"/>
            <w:vAlign w:val="center"/>
            <w:tcMar>
              <w:top w:w="90" w:type="dxa"/>
              <w:start w:w="100" w:type="dxa"/>
              <w:bottom w:w="90" w:type="dxa"/>
              <w:end w:w="100" w:type="dxa"/>
            </w:tcMar>
          </w:tcPr>
          <w:p>
            <w:r>
              <w:rPr>
                <w:rFonts w:ascii="Arial" w:hAnsi="Arial"/>
                <w:b/>
                <w:color w:val="FFFFFF"/>
                <w:sz w:val="18"/>
              </w:rPr>
              <w:t>Current consultation signal</w:t>
            </w:r>
          </w:p>
        </w:tc>
        <w:tc>
          <w:tcPr>
            <w:tcW w:type="dxa" w:w="4248"/>
            <w:shd w:fill="244B5A"/>
            <w:vAlign w:val="center"/>
            <w:tcMar>
              <w:top w:w="90" w:type="dxa"/>
              <w:start w:w="100" w:type="dxa"/>
              <w:bottom w:w="90" w:type="dxa"/>
              <w:end w:w="100" w:type="dxa"/>
            </w:tcMar>
          </w:tcPr>
          <w:p>
            <w:r>
              <w:rPr>
                <w:rFonts w:ascii="Arial" w:hAnsi="Arial"/>
                <w:b/>
                <w:color w:val="FFFFFF"/>
                <w:sz w:val="18"/>
              </w:rPr>
              <w:t>Submission implication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Class structure</w:t>
            </w:r>
          </w:p>
        </w:tc>
        <w:tc>
          <w:tcPr>
            <w:tcW w:type="dxa" w:w="3672"/>
            <w:vAlign w:val="center"/>
            <w:tcMar>
              <w:top w:w="90" w:type="dxa"/>
              <w:start w:w="100" w:type="dxa"/>
              <w:bottom w:w="90" w:type="dxa"/>
              <w:end w:w="100" w:type="dxa"/>
            </w:tcMar>
          </w:tcPr>
          <w:p>
            <w:pPr>
              <w:spacing w:after="40"/>
            </w:pPr>
            <w:r>
              <w:rPr>
                <w:rFonts w:ascii="Arial" w:hAnsi="Arial"/>
                <w:sz w:val="17"/>
              </w:rPr>
              <w:t>DTP is testing legacy builder-class alignment against work-and-risk-based classes.</w:t>
            </w:r>
          </w:p>
        </w:tc>
        <w:tc>
          <w:tcPr>
            <w:tcW w:type="dxa" w:w="4248"/>
            <w:vAlign w:val="center"/>
            <w:tcMar>
              <w:top w:w="90" w:type="dxa"/>
              <w:start w:w="100" w:type="dxa"/>
              <w:bottom w:w="90" w:type="dxa"/>
              <w:end w:w="100" w:type="dxa"/>
            </w:tcMar>
          </w:tcPr>
          <w:p>
            <w:r>
              <w:rPr>
                <w:rFonts w:ascii="Arial" w:hAnsi="Arial"/>
              </w:rPr>
              <w:t>Test a clear residential baseline against relevant domestic builder classes, with scope and authority boundaries.</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Role tiers</w:t>
            </w:r>
          </w:p>
        </w:tc>
        <w:tc>
          <w:tcPr>
            <w:tcW w:type="dxa" w:w="3672"/>
            <w:vAlign w:val="center"/>
            <w:shd w:fill="F1F6F7"/>
            <w:tcMar>
              <w:top w:w="90" w:type="dxa"/>
              <w:start w:w="100" w:type="dxa"/>
              <w:bottom w:w="90" w:type="dxa"/>
              <w:end w:w="100" w:type="dxa"/>
            </w:tcMar>
          </w:tcPr>
          <w:p>
            <w:pPr>
              <w:spacing w:after="40"/>
            </w:pPr>
            <w:r>
              <w:rPr>
                <w:rFonts w:ascii="Arial" w:hAnsi="Arial"/>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r>
              <w:rPr>
                <w:rFonts w:ascii="Arial" w:hAnsi="Arial"/>
              </w:rPr>
              <w:t>Use the same technical competence standard for the same residential work, with separate role requirements matched to responsibilities and authority.</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Existing workforce</w:t>
            </w:r>
          </w:p>
        </w:tc>
        <w:tc>
          <w:tcPr>
            <w:tcW w:type="dxa" w:w="3672"/>
            <w:vAlign w:val="center"/>
            <w:tcMar>
              <w:top w:w="90" w:type="dxa"/>
              <w:start w:w="100" w:type="dxa"/>
              <w:bottom w:w="90" w:type="dxa"/>
              <w:end w:w="100" w:type="dxa"/>
            </w:tcMar>
          </w:tcPr>
          <w:p>
            <w:pPr>
              <w:spacing w:after="40"/>
            </w:pPr>
            <w:r>
              <w:rPr>
                <w:rFonts w:ascii="Arial" w:hAnsi="Arial"/>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rFonts w:ascii="Arial" w:hAnsi="Arial"/>
                <w:sz w:val="17"/>
              </w:rPr>
              <w:t>Offer an evidence-governed transition model, not automatic grandfathering or forced repetition.</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Advanced capability</w:t>
            </w:r>
          </w:p>
        </w:tc>
        <w:tc>
          <w:tcPr>
            <w:tcW w:type="dxa" w:w="3672"/>
            <w:vAlign w:val="center"/>
            <w:shd w:fill="F1F6F7"/>
            <w:tcMar>
              <w:top w:w="90" w:type="dxa"/>
              <w:start w:w="100" w:type="dxa"/>
              <w:bottom w:w="90" w:type="dxa"/>
              <w:end w:w="100" w:type="dxa"/>
            </w:tcMar>
          </w:tcPr>
          <w:p>
            <w:pPr>
              <w:spacing w:after="40"/>
            </w:pPr>
            <w:r>
              <w:rPr>
                <w:rFonts w:ascii="Arial" w:hAnsi="Arial"/>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rFonts w:ascii="Arial" w:hAnsi="Arial"/>
                <w:sz w:val="17"/>
              </w:rPr>
              <w:t>Explain that advanced renovation capability is a separate progression question and should not be inferred from basic registration.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Future regulation</w:t>
            </w:r>
          </w:p>
        </w:tc>
        <w:tc>
          <w:tcPr>
            <w:tcW w:type="dxa" w:w="3672"/>
            <w:vAlign w:val="center"/>
            <w:tcMar>
              <w:top w:w="90" w:type="dxa"/>
              <w:start w:w="100" w:type="dxa"/>
              <w:bottom w:w="90" w:type="dxa"/>
              <w:end w:w="100" w:type="dxa"/>
            </w:tcMar>
          </w:tcPr>
          <w:p>
            <w:pPr>
              <w:spacing w:after="40"/>
            </w:pPr>
            <w:r>
              <w:rPr>
                <w:rFonts w:ascii="Arial" w:hAnsi="Arial"/>
                <w:sz w:val="17"/>
              </w:rPr>
              <w:t>The framework may extend to waterproofing and welding.</w:t>
            </w:r>
          </w:p>
        </w:tc>
        <w:tc>
          <w:tcPr>
            <w:tcW w:type="dxa" w:w="4248"/>
            <w:vAlign w:val="center"/>
            <w:tcMar>
              <w:top w:w="90" w:type="dxa"/>
              <w:start w:w="100" w:type="dxa"/>
              <w:bottom w:w="90" w:type="dxa"/>
              <w:end w:w="100" w:type="dxa"/>
            </w:tcMar>
          </w:tcPr>
          <w:p>
            <w:pPr>
              <w:spacing w:after="40"/>
            </w:pPr>
            <w:r>
              <w:rPr>
                <w:rFonts w:ascii="Arial" w:hAnsi="Arial"/>
                <w:sz w:val="17"/>
              </w:rPr>
              <w:t>Use a coherent architecture that can scale across trades without copying unsuitable legacy classes.</w:t>
            </w:r>
          </w:p>
        </w:tc>
      </w:tr>
      <w:tr>
        <w:trPr>
          <w:cantSplit/>
        </w:trPr>
        <w:tc>
          <w:tcPr>
            <w:tcW w:type="dxa" w:w="3331"/>
          </w:tcPr>
          <w:p>
            <w:r>
              <w:rPr>
                <w:rFonts w:ascii="Arial" w:hAnsi="Arial"/>
              </w:rPr>
              <w:t>Consultation slides</w:t>
            </w:r>
          </w:p>
        </w:tc>
        <w:tc>
          <w:tcPr>
            <w:tcW w:type="dxa" w:w="3331"/>
          </w:tcPr>
          <w:p>
            <w:r>
              <w:rPr>
                <w:rFonts w:ascii="Arial" w:hAnsi="Arial"/>
              </w:rPr>
              <w:t>Slides 2 and 5 identify four objectives and proportionality; slide 3 describes proposed role permissions; slide 6 addresses transition and operational readiness.</w:t>
            </w:r>
          </w:p>
        </w:tc>
        <w:tc>
          <w:tcPr>
            <w:tcW w:type="dxa" w:w="3331"/>
          </w:tcPr>
          <w:p>
            <w:r>
              <w:rPr>
                <w:rFonts w:ascii="Arial" w:hAnsi="Arial"/>
              </w:rPr>
              <w:t>Map each recommendation to an objective and risk. Proposed permissions are not a statement that new requirements have commenced. [6]</w:t>
            </w:r>
          </w:p>
        </w:tc>
      </w:tr>
      <w:tr>
        <w:trPr>
          <w:cantSplit/>
        </w:trPr>
        <w:tc>
          <w:tcPr>
            <w:tcW w:type="dxa" w:w="3331"/>
          </w:tcPr>
          <w:p>
            <w:r>
              <w:rPr>
                <w:rFonts w:ascii="Arial" w:hAnsi="Arial"/>
              </w:rPr>
              <w:t>Stakeholder views</w:t>
            </w:r>
          </w:p>
        </w:tc>
        <w:tc>
          <w:tcPr>
            <w:tcW w:type="dxa" w:w="3331"/>
          </w:tcPr>
          <w:p>
            <w:r>
              <w:rPr>
                <w:rFonts w:ascii="Arial" w:hAnsi="Arial"/>
              </w:rPr>
              <w:t>The 6 October email reports support and opposition. Supporters expected workforce and quality benefits; opponents questioned the evidence, further regulatory change and worker acceptance.</w:t>
            </w:r>
          </w:p>
        </w:tc>
        <w:tc>
          <w:tcPr>
            <w:tcW w:type="dxa" w:w="3331"/>
          </w:tcPr>
          <w:p>
            <w:r>
              <w:rPr>
                <w:rFonts w:ascii="Arial" w:hAnsi="Arial"/>
              </w:rPr>
              <w:t>Retain both views. No participation proportions or causal results are supplied. [7]</w:t>
            </w:r>
          </w:p>
        </w:tc>
      </w:tr>
      <w:tr>
        <w:trPr>
          <w:cantSplit/>
        </w:trPr>
        <w:tc>
          <w:tcPr>
            <w:tcW w:type="dxa" w:w="3331"/>
          </w:tcPr>
          <w:p>
            <w:r>
              <w:rPr>
                <w:rFonts w:ascii="Arial" w:hAnsi="Arial"/>
              </w:rPr>
              <w:t>Transition and retirement</w:t>
            </w:r>
          </w:p>
        </w:tc>
        <w:tc>
          <w:tcPr>
            <w:tcW w:type="dxa" w:w="3331"/>
          </w:tcPr>
          <w:p>
            <w:r>
              <w:rPr>
                <w:rFonts w:ascii="Arial" w:hAnsi="Arial"/>
              </w:rPr>
              <w:t>The email reports calls for staging and suitable arrangements for older carpenters approaching retirement.</w:t>
            </w:r>
          </w:p>
        </w:tc>
        <w:tc>
          <w:tcPr>
            <w:tcW w:type="dxa" w:w="3331"/>
          </w:tcPr>
          <w:p>
            <w:r>
              <w:rPr>
                <w:rFonts w:ascii="Arial" w:hAnsi="Arial"/>
              </w:rPr>
              <w:t>Model accessible pathways and process relief while retaining competence outcomes; no fixed duration or age waiver is established. [7]</w:t>
            </w:r>
          </w:p>
        </w:tc>
      </w:tr>
    </w:tbl>
    <w:p>
      <w:pPr>
        <w:spacing w:after="20"/>
      </w:pPr>
    </w:p>
    <w:p>
      <w:pPr/>
      <w:r>
        <w:rPr>
          <w:rFonts w:ascii="Arial" w:hAnsi="Arial"/>
        </w:rPr>
        <w:t>DTP’s slides describe proposals and intended outcomes. Its 6 October email reports both support and opposition and says views will inform advice to the incoming Government. Courtney Gleeson’s subsequent reply identifies current contract rules, separate proposed contract reforms and historical RIS sections for further reading. These sources do not announce a final carpenter model or endorse this initiative. The historical RIS disclaimer remains applicable. [2; 6–7; 9–12]</w:t>
      </w:r>
    </w:p>
    <w:p>
      <w:pPr>
        <w:pStyle w:val="Heading1"/>
        <w:keepNext/>
      </w:pPr>
      <w:r>
        <w:rPr>
          <w:rFonts w:ascii="Arial" w:hAnsi="Arial"/>
        </w:rPr>
        <w:t>Response to consultation questions</w:t>
      </w:r>
    </w:p>
    <w:p>
      <w:pPr>
        <w:pStyle w:val="Heading2"/>
        <w:keepNext/>
      </w:pPr>
      <w:r>
        <w:rPr>
          <w:rFonts w:ascii="Arial" w:hAnsi="Arial"/>
        </w:rPr>
        <w:t>Question 1  Priority objectives and outcomes</w:t>
      </w:r>
    </w:p>
    <w:p>
      <w:r>
        <w:rPr>
          <w:rFonts w:ascii="Arial" w:hAnsi="Arial"/>
        </w:rPr>
        <w:t>The four stated government objectives are improved consumer confidence, fewer building defects, incentives for skills formation and qualifications, and greater regulatory oversight. Recommendations should show how they contribute to these objectives. Recruitment, retention and work-quality improvements reported by supporters are expectations to test, not measured results. Workforce capacity and clear practitioner scope should be monitored alongside consumer outcomes. [6, slides 2 and 5; 7]</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Question 2  Effectiveness of registration and licensing</w:t>
      </w:r>
    </w:p>
    <w:p>
      <w:r>
        <w:rPr>
          <w:rFonts w:ascii="Arial" w:hAnsi="Arial"/>
        </w:rPr>
        <w:t>The proposed causal chain is that verified competence and practitioner traceability enable more effective compliance and enforcement, which may reduce attributable defects and improve accountability. Each link needs evidence. Registration alone cannot establish the result: defects may arise from design, materials, sequencing, supervision, commercial pressure or decisions made by others. The causal responsibilities of carpenters and registered builders must remain distinct and visible. [6, slide 2; 7]</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Question 3  Alternative regulatory approaches</w:t>
      </w:r>
    </w:p>
    <w:p>
      <w:r>
        <w:rPr>
          <w:rFonts w:ascii="Arial" w:hAnsi="Arial"/>
        </w:rPr>
        <w:t>Compare individual entry controls with contractor accountability, stronger builder supervision, targeted inspections, records for concealed or critical work, technical education and voluntary advanced recognition. A contractor-focused alternative was raised in the structured meeting record; it is a stakeholder option, not selected government policy. The correct approach is the lowest intervention that demonstrably addresses the verified problem, including no additional restriction where existing or less burdensome controls suffice. [5, DTPM-026 and 032]</w:t>
      </w:r>
    </w:p>
    <w:p>
      <w:pPr>
        <w:spacing w:after="60"/>
        <w:ind w:left="374" w:hanging="259"/>
      </w:pPr>
      <w:r>
        <w:rPr>
          <w:rFonts w:ascii="Arial" w:hAnsi="Arial"/>
        </w:rPr>
        <w:t>• Use registration only where a verified material risk and incremental accountability benefit justify entry restrictions.</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Question 4  Risk factors for restricting work</w:t>
      </w:r>
    </w:p>
    <w:p>
      <w:r>
        <w:rPr>
          <w:rFonts w:ascii="Arial" w:hAnsi="Arial"/>
        </w:rPr>
        <w:t>Risk should be assessed by consequence of failure, mandatory standards, concealed conditions and the independent judgment exercised. Ordinary repairs should remain practicable within a carpenter’s demonstrated competence and lawful authority. Discovering rot does not automatically require specialist referral. The reason for additional input should be specific, such as work outside lawful scope, an unresolved safety or design issue, or a required specialist approval. Contract value can affect contracting requirements but should not alone define technical competence or permit obligations.</w:t>
      </w:r>
    </w:p>
    <w:p>
      <w:pPr/>
      <w:r>
        <w:rPr>
          <w:rFonts w:ascii="Arial" w:hAnsi="Arial"/>
        </w:rPr>
        <w:t>Keep administration proportionate for routine, low-value jobs. Do not impose major domestic building contract documentation solely because a carpenter is registered where applicable law does not require it; retain other applicable consumer, permit and insurance obligations. Regulation 6 fixes the major-contract threshold at $10,000; sections 3 and 29 address the threshold and appropriately authorised registration. Separate draft contract regulations propose $20,000. The departmental reply reports expected commencement on 31 March 2027; that is not carpenter-scheme commencement or proof the threshold has changed. Reassess scope and contracting arrangements when discoveries expand a job. No new carpenter contract-value cap is proposed here. [9–12] Contract requirements and insurance thresholds are separate. BPC guidance describes Home Warranty for eligible domestic building work over $20,000 under the new arrangements from 1 July 2026, with eligibility, exclusions and transitional treatment to be checked. This does not establish future carpenter insurance settings or a general exemption from other duties. [17]</w:t>
      </w:r>
    </w:p>
    <w:p>
      <w:pPr/>
      <w:r>
        <w:rPr>
          <w:rFonts w:ascii="Arial" w:hAnsi="Arial"/>
        </w:rPr>
        <w:t>Proposed scope should be tested across residential outdoor carpentry as well as work inside homes: decks, verandahs, fences, gates and appropriate shed carpentry. These examples require work-specific mapping; they are not blanket permissions for whole structures, retaining walls or other regulated activities. Select replacement timber using the applicable dimensions, strength grade, durability or treatment, spans, loads and connections. An imperial description or larger member alone does not establish equivalent performance. Building-permit requirements and barrier requirements are separate: a deck below one metre is not automatically permit-exempt. Follow applicable planning approvals, building permits, approved design and specialist responsibilities. [13–14]</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Existing-building uncertainty and progressive discovery: make unsafe areas safe, explain changed conditions to the owner, reassess the affected scope and pause affected work where safety, authority or required approvals remain unresolved. Continue work within established competence and lawful scope; obtain other practitioner input when a specific boundary requires it.</w:t>
      </w:r>
    </w:p>
    <w:p>
      <w:pPr>
        <w:pStyle w:val="Heading2"/>
        <w:keepNext/>
      </w:pPr>
      <w:r>
        <w:rPr>
          <w:rFonts w:ascii="Arial" w:hAnsi="Arial"/>
        </w:rPr>
        <w:t>Question 5  Existing builder classes or proposed risk-based classes</w:t>
      </w:r>
    </w:p>
    <w:p>
      <w:r>
        <w:rPr>
          <w:rFonts w:ascii="Arial" w:hAnsi="Arial"/>
        </w:rPr>
        <w:t>Our proposed baseline registration is limited to residential carpentry, covering defined carpentry work in new homes and existing homes. It establishes competence to perform that work and does not, by implication, grant consumer contracting, project-level supervision or builder authority. Compare a clear work-and-risk-based residential scope with relevant existing domestic builder classes before selecting the statutory mechanism. Apply specialist requirements only where the authorised work and evidence justify them.</w:t>
      </w:r>
    </w:p>
    <w:p>
      <w:pPr/>
      <w:r>
        <w:rPr>
          <w:rFonts w:ascii="Arial" w:hAnsi="Arial"/>
        </w:rPr>
        <w:t>Residential scope is the initiative’s recommendation, not a claim that government has adopted a residential-only scheme. The Department may need separate arrangements for non-residential work. Publish boundaries for mixed-use buildings, ancillary structures and temporary works so practitioners can identify when another class or responsible practitioner is required. This proposal does not confer authority outside the defined residential scope.</w:t>
      </w:r>
    </w:p>
    <w:p>
      <w:pPr>
        <w:spacing w:after="60"/>
        <w:ind w:left="374" w:hanging="259"/>
      </w:pPr>
      <w:r>
        <w:rPr>
          <w:rFonts w:ascii="Arial" w:hAnsi="Arial"/>
        </w:rPr>
        <w:t>• Map the proposed residential scope against existing domestic builder classes and clarify interfaces with non-residential work to prevent gaps, overlap or authority by implication.</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Question 6  Subcontractor and employee tiers</w:t>
      </w:r>
    </w:p>
    <w:p>
      <w:r>
        <w:rPr>
          <w:rFonts w:ascii="Arial" w:hAnsi="Arial"/>
        </w:rPr>
        <w:t>Employees and subcontractors performing the same prescribed residential carpentry work should meet the same technical competence standard. For employees working under a builder, completed apprenticeship and Certificate III evidence should normally establish the baseline technical outcome, subject to any lawful registration conditions. Independent business operation calls for additional relevant business and contracting requirements; it does not automatically establish advanced technical capability or authority to contract for every project. Requirements should follow responsibilities, authority and risk, rather than imposing unrelated business or financial obligations on employees. [6, slide 3]</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Make movement between employee and subcontractor roles administratively simple. Retain verified technical competence and assess only additional role requirements; an unchanged work scope should not require repeat technical assessment solely because employment status changes.</w:t>
      </w:r>
    </w:p>
    <w:p>
      <w:pPr>
        <w:spacing w:after="60"/>
        <w:ind w:left="374" w:hanging="259"/>
      </w:pPr>
      <w:r>
        <w:rPr>
          <w:rFonts w:ascii="Arial" w:hAnsi="Arial"/>
        </w:rPr>
        <w:t>• Retain the responsible registered builder’s project-level accountability while making each carpenter’s responsibility for their own work and boundary decisions clear. Separate role requirements do not transfer builder authority or responsibility to a carpenter.</w:t>
      </w:r>
    </w:p>
    <w:p>
      <w:r>
        <w:rPr>
          <w:rFonts w:ascii="Arial" w:hAnsi="Arial"/>
        </w:rPr>
        <w:t>Authority and handoff boundaries. Distinguish baseline permission to perform prescribed work, requirements for independent business operation, and any additional assessed authority for defined residential work. Technical registration does not itself confer unrestricted consumer contracting, project supervision, structural design or certification, or specialist-trade authority. Consider a bounded progression route for experienced carpenters where evidence supports it, while retaining builders’, engineers’, building surveyors’ and licensed trades’ responsibilities. Extra labour or a larger budget does not resolve an authority or design boundary.</w:t>
      </w:r>
    </w:p>
    <w:p>
      <w:r>
        <w:rPr>
          <w:rFonts w:ascii="Arial" w:hAnsi="Arial"/>
        </w:rPr>
        <w:t>Optional modules could be tested for defined existing-building renovation, outdoor structures, or other specified work, including retaining-wall tasks only where competence, design and approval boundaries are established. Assess the function, consumer benefit, business obligations and insurance before granting additional authority. RRC, an endorsement or a revised existing class remain possible mechanisms; none is predetermined. Any future financial limit needs separate justification. No new monetary cap is selected or proposed in this submission.</w:t>
      </w:r>
    </w:p>
    <w:p>
      <w:pPr/>
      <w:r>
        <w:rPr>
          <w:rFonts w:ascii="Arial" w:hAnsi="Arial"/>
        </w:rPr>
        <w:t>Slide 3 summarises proposed builder, subcontractor and employee permissions, but does not show a below-threshold contracting column. Courtney Gleeson directs us to historical RIS sections 1.3 and 1.3.2 and Table 0.1. The table shows subcontractors contracting for carpentry under $10,000 under the then-existing scheme, with new registration and disciplinary obligations proposed separately. This helps explain the meeting statement rather than establishing a contradiction with the slides. Current law and proposed changes must be checked separately; permits, insurance, corporate roles and carpentry commencement remain distinct questions. [2, pp. 28–31; 5, DTPM-015–019; 6, slide 3; 9]</w:t>
      </w:r>
    </w:p>
    <w:p>
      <w:pPr>
        <w:pStyle w:val="Heading2"/>
        <w:keepNext/>
      </w:pPr>
      <w:r>
        <w:rPr>
          <w:rFonts w:ascii="Arial" w:hAnsi="Arial"/>
        </w:rPr>
        <w:t>Question 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r>
        <w:rPr>
          <w:rFonts w:ascii="Arial" w:hAnsi="Arial"/>
        </w:rPr>
        <w:t>For future entrants, this initiative recommends a completed carpentry apprenticeship with Certificate III as the normal baseline technical foundation. Recognise those assessed outcomes rather than routinely repeating a full trade test. If an additional licensing module or examination is proposed, specify the regulatory knowledge or competence gap it addresses and demonstrate its necessity. No compulsory additional exam or wholesale Certificate III redesign is selected here. Consider existing-building awareness in training only after mapping current coverage and any demonstrated gaps. [6, slide 4; 8]</w:t>
      </w:r>
    </w:p>
    <w:p>
      <w:pPr>
        <w:spacing w:after="60"/>
        <w:ind w:left="374" w:hanging="259"/>
      </w:pPr>
      <w:r>
        <w:rPr>
          <w:rFonts w:ascii="Arial" w:hAnsi="Arial"/>
        </w:rPr>
        <w:t>• Assess competence against the required outcome; qualifications and references are evidence, not substitutes for reliable verification where gaps remain.</w:t>
      </w:r>
    </w:p>
    <w:p>
      <w:pPr>
        <w:spacing w:after="60"/>
        <w:ind w:left="374" w:hanging="259"/>
      </w:pPr>
      <w:r>
        <w:rPr>
          <w:rFonts w:ascii="Arial" w:hAnsi="Arial"/>
        </w:rPr>
        <w:t>For existing workers, missing apprenticeship records should not by itself exclude a competent applicant. Use verified work history, representative work evidence, corroborating references and practical assessment appropriate to the gaps. Require targeted training or experience where competence is not demonstrated; do not rely on tenure alone or make competent workers repeat a full qualification unnecessarily. The historical RIS describes transition assessment and training plans, but does not establish current adopted settings. [2, pp. 71–72; 9]</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r>
        <w:rPr>
          <w:rFonts w:ascii="Arial" w:hAnsi="Arial"/>
        </w:rPr>
        <w:t>Set transition duration using cohort size, verified gaps, safety risk and regulator and training capacity. A five-year pathway was raised by a meeting participant and appears in the historical RIS with an application window and training-plan conditions. Neither source establishes a current adopted duration. Avoid indefinite provisional status or unsupervised work where safety-critical competence remains unproven. [2, pp. 71–72; 5, DTPM-022 and 033; 7; 9]</w:t>
      </w:r>
    </w:p>
    <w:p>
      <w:pPr/>
      <w:r>
        <w:rPr>
          <w:rFonts w:ascii="Arial" w:hAnsi="Arial"/>
        </w:rPr>
        <w:t>Recognition of prior learning should retain the rigour needed to establish the required competence. Some providers advertise approximately three months for recognition of skills already acquired, not three months of novice trade training. Duration alone does not establish invalid assessment. Require authentic, current and sufficient evidence, reliable practical verification where needed, and targeted gap training. ASQA warns against inadequate assessment and misleading RPL marketing. Preserve legitimate recognition for experienced workers while addressing demonstrated assessment failures. [15–16]</w:t>
      </w:r>
    </w:p>
    <w:p>
      <w:pPr>
        <w:pStyle w:val="Heading2"/>
        <w:keepNext/>
      </w:pPr>
      <w:r>
        <w:rPr>
          <w:rFonts w:ascii="Arial" w:hAnsi="Arial"/>
        </w:rPr>
        <w:t>Question 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r>
        <w:rPr>
          <w:rFonts w:ascii="Arial" w:hAnsi="Arial"/>
        </w:rPr>
        <w:t>Documentary screening should distinguish missing records from an actual competence gap. Specify who verifies each gap and who may impose or review conditions; proposed assessor involvement should not imply statutory powers that have not been established.</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Question 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Test targeted funding or capped assessment costs against eligibility, workforce need and a current cost model; the announced $16 million program is not an allocation to these proposals. [6, slide 2; 20]</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Accept reliable workplace evidence through methods compatible with the BPC’s published assessment process; avoid duplicating verification already completed.</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Question 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r>
        <w:rPr>
          <w:rFonts w:ascii="Arial" w:hAnsi="Arial"/>
        </w:rPr>
        <w:t>For workers approaching retirement, consider assisted applications, recognition of verified records and targeted cost relief. Age or intended retirement date should not automatically waive essential competence or extend authority. Compare the burden and safety effects of any special arrangements. [7]</w:t>
      </w:r>
    </w:p>
    <w:p>
      <w:pPr>
        <w:pStyle w:val="Heading2"/>
        <w:keepNext/>
      </w:pPr>
      <w:r>
        <w:rPr>
          <w:rFonts w:ascii="Arial" w:hAnsi="Arial"/>
        </w:rPr>
        <w:t>Question 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r>
        <w:rPr>
          <w:rFonts w:ascii="Arial" w:hAnsi="Arial"/>
        </w:rPr>
        <w:t>Readiness criteria should cover clear scope, responsible decision makers, trained assessors, tested systems, forecast demand, accessible assistance, review mechanisms and funded compliance capacity. Publish who is responsible for each criterion and how readiness will be assessed. [6, slides 4 and 6]</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Question 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r>
        <w:rPr>
          <w:rFonts w:ascii="Arial" w:hAnsi="Arial"/>
        </w:rPr>
        <w:t>DTP’s slides estimate more than 20,000 carpenters in Victoria. Courtney Gleeson’s reply refers the evidence question to the historical RIS. Its page 30 uses 2021 Census and then-regulator data to derive an unregistered cohort; that calculation is not a current residential-renovation count or an explanation of the slide estimate. Reconcile dates, occupational coverage, roles and registration categories before forecasting BPC, assessor or training demand. [2, p. 30; 6, slide 6; 9]</w:t>
      </w:r>
    </w:p>
    <w:p>
      <w:pPr>
        <w:spacing w:after="60"/>
        <w:ind w:left="374" w:hanging="259"/>
      </w:pPr>
      <w:r>
        <w:rPr>
          <w:rFonts w:ascii="Arial" w:hAnsi="Arial"/>
        </w:rPr>
        <w:t>• Assess whether multiple assessment providers can operate within BPC decision-making, integrity and moderation arrangements; do not assume accreditation or delegated authority.</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Question 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r>
        <w:rPr>
          <w:rFonts w:ascii="Arial" w:hAnsi="Arial"/>
        </w:rPr>
        <w:t>The departmental email records concern about additional regulatory change and possible worker resistance. Test these concerns rather than assuming the size of any exit effect. Compare burdens on employees and subcontractors, include retirement profiles, and simplify process without weakening essential competence. [7]</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initiative recommends a residential-only baseline. A work-and-risk-based residential scope is an option for testing against alignment to relevant existing domestic builder classes. The statutory mechanism remains open. DTP should compare the options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mobility within residential carpentry and clear boundaries when a practitioner moves into non-residential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pPr/>
      <w:r>
        <w:rPr>
          <w:rFonts w:ascii="Arial" w:hAnsi="Arial"/>
        </w:rPr>
        <w:t>• compatibility with the BPC’s operating model, transition capacity and the burden of further regulatory change.</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r>
        <w:rPr>
          <w:rFonts w:ascii="Arial" w:hAnsi="Arial"/>
        </w:rPr>
        <w:t>Interstate schemes provide useful comparisons. NSW recognises carpentry contractor licences and separate supervisor certificates for defined work. Queensland provides a carpentry licence class and contractor-type licences permitting direct contracts within licensed scope, with additional business and financial requirements. Compare their scope, role boundaries, burdens and available outcome data when designing a Victorian pathway. These published rules do not establish pilot results or prove reduced defects; their permissions and thresholds do not apply in Victoria. [18–19]</w:t>
      </w:r>
    </w:p>
    <w:p>
      <w:pPr/>
      <w:r>
        <w:rPr>
          <w:rFonts w:ascii="Arial" w:hAnsi="Arial"/>
        </w:rPr>
        <w:t>The structured meeting record reports a participant preference for simplicity and a general licence. Retain that broader option as contrary or alternative evidence; it does not establish government policy or displace this initiative’s residential recommendation. Assess both scope and usability against risk, coverage and burden evidence. [5, DTPM-023 and 029]</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r>
        <w:rPr>
          <w:rFonts w:ascii="Arial" w:hAnsi="Arial"/>
        </w:rPr>
        <w:t>The departmental reply refers the evidence question to Chapter 2 of the historical RIS. That chapter identifies material concerns, while acknowledging data and attribution limits, including risk-selected inspections and dispute-counting effects. This supports examining the problem; it does not itself measure the incremental defect reduction from registration. Retain the request for current evidence and an evaluation against alternatives. The 6 October email records calls for stronger evidence and contrary views. [2, pp. 34–46; 7; 9]</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credible carpenter career pathway: apprenticeship and baseline trade competence, appropriate additional requirements for independent business operation, and optional assessed progression for defined residential work where need and public benefit are demonstrated. Do not require the full builder pathway for every narrower function if a proportionate lawful alternative can meet the same consumer outcome. Existing builder entry pathways remain directly available; advanced recognition must never become mandatory before builder registration. An endorsement, reform of DB-L Carpentry, optional RRC, a non-statutory credential or no additional mechanism remain options. Additional statutory contracting authority would require an authorised mechanism, not merely a voluntary credential.</w:t>
      </w:r>
    </w:p>
    <w:p>
      <w:r>
        <w:rPr>
          <w:rFonts w:ascii="Arial" w:hAnsi="Arial"/>
        </w:rPr>
        <w:t>Proposed RRC pilot and collaboration. I propose working with DTP and the BPC to design a bounded trial of additional residential capability, with defined scope, lawful permissions, oversight and evaluation before wider rollout. I offer to take a lead role in its development and delivery alongside a government-supported team, with appointments and resources determined by government and appropriately independent evaluation. Test work quality, consumer outcomes, costs, access and boundary decisions against a baseline and relevant alternatives, including existing pathways. Modify, narrow or discontinue the pathway if the evidence does not support it. The pilot would not itself grant statutory authority or commit government funding.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Capability level</w:t>
            </w:r>
          </w:p>
        </w:tc>
        <w:tc>
          <w:tcPr>
            <w:tcW w:type="dxa" w:w="2880"/>
            <w:shd w:fill="244B5A"/>
            <w:vAlign w:val="center"/>
            <w:tcMar>
              <w:top w:w="90" w:type="dxa"/>
              <w:start w:w="100" w:type="dxa"/>
              <w:bottom w:w="90" w:type="dxa"/>
              <w:end w:w="100" w:type="dxa"/>
            </w:tcMar>
          </w:tcPr>
          <w:p>
            <w:r>
              <w:rPr>
                <w:rFonts w:ascii="Arial" w:hAnsi="Arial"/>
                <w:b/>
                <w:color w:val="FFFFFF"/>
                <w:sz w:val="18"/>
              </w:rPr>
              <w:t>Primary function</w:t>
            </w:r>
          </w:p>
        </w:tc>
        <w:tc>
          <w:tcPr>
            <w:tcW w:type="dxa" w:w="3168"/>
            <w:shd w:fill="244B5A"/>
            <w:vAlign w:val="center"/>
            <w:tcMar>
              <w:top w:w="90" w:type="dxa"/>
              <w:start w:w="100" w:type="dxa"/>
              <w:bottom w:w="90" w:type="dxa"/>
              <w:end w:w="100" w:type="dxa"/>
            </w:tcMar>
          </w:tcPr>
          <w:p>
            <w:r>
              <w:rPr>
                <w:rFonts w:ascii="Arial" w:hAnsi="Arial"/>
                <w:b/>
                <w:color w:val="FFFFFF"/>
                <w:sz w:val="18"/>
              </w:rPr>
              <w:t>Evidence emphasis</w:t>
            </w:r>
          </w:p>
        </w:tc>
        <w:tc>
          <w:tcPr>
            <w:tcW w:type="dxa" w:w="3168"/>
            <w:shd w:fill="244B5A"/>
            <w:vAlign w:val="center"/>
            <w:tcMar>
              <w:top w:w="90" w:type="dxa"/>
              <w:start w:w="100" w:type="dxa"/>
              <w:bottom w:w="90" w:type="dxa"/>
              <w:end w:w="100" w:type="dxa"/>
            </w:tcMar>
          </w:tcPr>
          <w:p>
            <w:r>
              <w:rPr>
                <w:rFonts w:ascii="Arial" w:hAnsi="Arial"/>
                <w:b/>
                <w:color w:val="FFFFFF"/>
                <w:sz w:val="18"/>
              </w:rPr>
              <w:t>Authority boundary</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Apprentice</w:t>
            </w:r>
          </w:p>
        </w:tc>
        <w:tc>
          <w:tcPr>
            <w:tcW w:type="dxa" w:w="2880"/>
            <w:vAlign w:val="center"/>
            <w:tcMar>
              <w:top w:w="90" w:type="dxa"/>
              <w:start w:w="100" w:type="dxa"/>
              <w:bottom w:w="90" w:type="dxa"/>
              <w:end w:w="100" w:type="dxa"/>
            </w:tcMar>
          </w:tcPr>
          <w:p>
            <w:pPr>
              <w:spacing w:after="40"/>
            </w:pPr>
            <w:r>
              <w:rPr>
                <w:rFonts w:ascii="Arial" w:hAnsi="Arial"/>
                <w:sz w:val="17"/>
              </w:rPr>
              <w:t>Supervised learning</w:t>
            </w:r>
          </w:p>
        </w:tc>
        <w:tc>
          <w:tcPr>
            <w:tcW w:type="dxa" w:w="3168"/>
            <w:vAlign w:val="center"/>
            <w:tcMar>
              <w:top w:w="90" w:type="dxa"/>
              <w:start w:w="100" w:type="dxa"/>
              <w:bottom w:w="90" w:type="dxa"/>
              <w:end w:w="100" w:type="dxa"/>
            </w:tcMar>
          </w:tcPr>
          <w:p>
            <w:pPr>
              <w:spacing w:after="40"/>
            </w:pPr>
            <w:r>
              <w:rPr>
                <w:rFonts w:ascii="Arial" w:hAnsi="Arial"/>
                <w:sz w:val="17"/>
              </w:rPr>
              <w:t>Training contract and workplace evidence</w:t>
            </w:r>
          </w:p>
        </w:tc>
        <w:tc>
          <w:tcPr>
            <w:tcW w:type="dxa" w:w="3168"/>
            <w:vAlign w:val="center"/>
            <w:tcMar>
              <w:top w:w="90" w:type="dxa"/>
              <w:start w:w="100" w:type="dxa"/>
              <w:bottom w:w="90" w:type="dxa"/>
              <w:end w:w="100" w:type="dxa"/>
            </w:tcMar>
          </w:tcPr>
          <w:p>
            <w:pPr>
              <w:spacing w:after="40"/>
            </w:pPr>
            <w:r>
              <w:rPr>
                <w:rFonts w:ascii="Arial" w:hAnsi="Arial"/>
                <w:sz w:val="17"/>
              </w:rPr>
              <w:t>Works only within apprenticeship arrangements</w:t>
            </w:r>
          </w:p>
        </w:tc>
      </w:tr>
      <w:tr>
        <w:trPr>
          <w:cantSplit/>
        </w:trPr>
        <w:tc>
          <w:tcPr>
            <w:tcW w:type="dxa" w:w="1800"/>
            <w:vAlign w:val="center"/>
            <w:shd w:fill="F1F6F7"/>
            <w:tcMar>
              <w:top w:w="90" w:type="dxa"/>
              <w:start w:w="100" w:type="dxa"/>
              <w:bottom w:w="90" w:type="dxa"/>
              <w:end w:w="100" w:type="dxa"/>
            </w:tcMar>
          </w:tcPr>
          <w:p>
            <w:r>
              <w:rPr>
                <w:rFonts w:ascii="Arial" w:hAnsi="Arial"/>
              </w:rPr>
              <w:t>Residential carpenter baseline</w:t>
            </w:r>
          </w:p>
        </w:tc>
        <w:tc>
          <w:tcPr>
            <w:tcW w:type="dxa" w:w="2880"/>
            <w:vAlign w:val="center"/>
            <w:shd w:fill="F1F6F7"/>
            <w:tcMar>
              <w:top w:w="90" w:type="dxa"/>
              <w:start w:w="100" w:type="dxa"/>
              <w:bottom w:w="90" w:type="dxa"/>
              <w:end w:w="100" w:type="dxa"/>
            </w:tcMar>
          </w:tcPr>
          <w:p>
            <w:r>
              <w:rPr>
                <w:rFonts w:ascii="Arial" w:hAnsi="Arial"/>
              </w:rPr>
              <w:t>Perform prescribed residential carpentry work in new and existing homes</w:t>
            </w:r>
          </w:p>
        </w:tc>
        <w:tc>
          <w:tcPr>
            <w:tcW w:type="dxa" w:w="3168"/>
            <w:vAlign w:val="center"/>
            <w:shd w:fill="F1F6F7"/>
            <w:tcMar>
              <w:top w:w="90" w:type="dxa"/>
              <w:start w:w="100" w:type="dxa"/>
              <w:bottom w:w="90" w:type="dxa"/>
              <w:end w:w="100" w:type="dxa"/>
            </w:tcMar>
          </w:tcPr>
          <w:p>
            <w:r>
              <w:rPr>
                <w:rFonts w:ascii="Arial" w:hAnsi="Arial"/>
              </w:rPr>
              <w:t>Apprenticeship and Certificate III outcomes; verified existing-worker competence and targeted gap training</w:t>
            </w:r>
          </w:p>
        </w:tc>
        <w:tc>
          <w:tcPr>
            <w:tcW w:type="dxa" w:w="3168"/>
            <w:vAlign w:val="center"/>
            <w:shd w:fill="F1F6F7"/>
            <w:tcMar>
              <w:top w:w="90" w:type="dxa"/>
              <w:start w:w="100" w:type="dxa"/>
              <w:bottom w:w="90" w:type="dxa"/>
              <w:end w:w="100" w:type="dxa"/>
            </w:tcMar>
          </w:tcPr>
          <w:p>
            <w:pPr>
              <w:spacing w:after="40"/>
            </w:pPr>
            <w:r>
              <w:rPr>
                <w:rFonts w:ascii="Arial" w:hAnsi="Arial"/>
                <w:sz w:val="17"/>
              </w:rPr>
              <w:t>No broader contracting or builder authority by implication</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Advanced residential capability</w:t>
            </w:r>
          </w:p>
        </w:tc>
        <w:tc>
          <w:tcPr>
            <w:tcW w:type="dxa" w:w="2880"/>
            <w:vAlign w:val="center"/>
            <w:tcMar>
              <w:top w:w="90" w:type="dxa"/>
              <w:start w:w="100" w:type="dxa"/>
              <w:bottom w:w="90" w:type="dxa"/>
              <w:end w:w="100" w:type="dxa"/>
            </w:tcMar>
          </w:tcPr>
          <w:p>
            <w:pPr>
              <w:spacing w:after="40"/>
            </w:pPr>
            <w:r>
              <w:rPr>
                <w:rFonts w:ascii="Arial" w:hAnsi="Arial"/>
                <w:sz w:val="17"/>
              </w:rPr>
              <w:t>Integrated judgment in existing-home alteration and renovation</w:t>
            </w:r>
          </w:p>
        </w:tc>
        <w:tc>
          <w:tcPr>
            <w:tcW w:type="dxa" w:w="3168"/>
            <w:vAlign w:val="center"/>
            <w:tcMar>
              <w:top w:w="90" w:type="dxa"/>
              <w:start w:w="100" w:type="dxa"/>
              <w:bottom w:w="90" w:type="dxa"/>
              <w:end w:w="100" w:type="dxa"/>
            </w:tcMar>
          </w:tcPr>
          <w:p>
            <w:r>
              <w:rPr>
                <w:rFonts w:ascii="Arial" w:hAnsi="Arial"/>
              </w:rPr>
              <w:t>Validated evidence of integrated decisions, practical or scenario performance and boundary recognition</w:t>
            </w:r>
          </w:p>
        </w:tc>
        <w:tc>
          <w:tcPr>
            <w:tcW w:type="dxa" w:w="3168"/>
            <w:vAlign w:val="center"/>
            <w:tcMar>
              <w:top w:w="90" w:type="dxa"/>
              <w:start w:w="100" w:type="dxa"/>
              <w:bottom w:w="90" w:type="dxa"/>
              <w:end w:w="100" w:type="dxa"/>
            </w:tcMar>
          </w:tcPr>
          <w:p>
            <w:r>
              <w:rPr>
                <w:rFonts w:ascii="Arial" w:hAnsi="Arial"/>
              </w:rPr>
              <w:t>Optional modules and bounded authority under examination; no statutory permission or builder-entry prerequisite implied</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Registered builder</w:t>
            </w:r>
          </w:p>
        </w:tc>
        <w:tc>
          <w:tcPr>
            <w:tcW w:type="dxa" w:w="2880"/>
            <w:vAlign w:val="center"/>
            <w:shd w:fill="F1F6F7"/>
            <w:tcMar>
              <w:top w:w="90" w:type="dxa"/>
              <w:start w:w="100" w:type="dxa"/>
              <w:bottom w:w="90" w:type="dxa"/>
              <w:end w:w="100" w:type="dxa"/>
            </w:tcMar>
          </w:tcPr>
          <w:p>
            <w:pPr>
              <w:spacing w:after="40"/>
            </w:pPr>
            <w:r>
              <w:rPr>
                <w:rFonts w:ascii="Arial" w:hAnsi="Arial"/>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rFonts w:ascii="Arial" w:hAnsi="Arial"/>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rFonts w:ascii="Arial" w:hAnsi="Arial"/>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r>
        <w:rPr>
          <w:rFonts w:ascii="Arial" w:hAnsi="Arial"/>
        </w:rPr>
        <w:t>Practitioner cases can illustrate concealed-condition decisions, progressive discovery, verification and handoffs. They do not establish statewide prevalence, independent carpenter attribution or the absence of those outcomes from formal training. Recruitment of interested practitioners also creates selection bias: positive experience or self-selected participation cannot establish that the capability is distinct across the workforce. Test contrary cases, existing-pathway performance and negative or inconclusive results without changing governed confidence values.</w:t>
      </w:r>
    </w:p>
    <w:p>
      <w:pPr>
        <w:pStyle w:val="Heading1"/>
        <w:keepNext/>
      </w:pPr>
      <w:r>
        <w:rPr>
          <w:rFonts w:ascii="Arial" w:hAnsi="Arial"/>
        </w:rPr>
        <w:t>Assessment architecture</w:t>
      </w:r>
    </w:p>
    <w:p>
      <w:r>
        <w:rPr>
          <w:rFonts w:ascii="Arial" w:hAnsi="Arial"/>
        </w:rPr>
        <w:t>Separate baseline regulatory verification from research into any residual advanced capability. Baseline requirements should align with the BPC’s proportionate verification approach. The BPC describes reduced documentation for lower-risk categories and replacement of interviews with exams, starting with DB-U. That publication does not establish the exact future carpenter assessment specification. Do not prescribe mandatory interviews or a uniform practical assessment for every carpenter without a scope-specific justification. [6, slide 4; 8]</w:t>
      </w:r>
    </w:p>
    <w:p>
      <w:pPr>
        <w:spacing w:after="60"/>
        <w:ind w:left="374" w:hanging="259"/>
      </w:pPr>
      <w:r>
        <w:rPr>
          <w:rFonts w:ascii="Arial" w:hAnsi="Arial"/>
        </w:rPr>
        <w:t>• Completed apprenticeship and Certificate III outcomes normally establish future entrants’ baseline technical competence; justify additional checks by a specific regulatory purpose. For existing workers, verify equivalent competence with work evidence, references and practical assessment where needed, then address identified gaps.</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pPr/>
      <w:r>
        <w:rPr>
          <w:rFonts w:ascii="Arial" w:hAnsi="Arial"/>
        </w:rPr>
        <w:t>The evidence methods above are options selected for the scope, risk and applicant evidence, not a cumulative test required of every worker. Any advanced-capability scenarios or interviews remain research methods until validated and accepted for a defined regulatory purpose.</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Issue</w:t>
            </w:r>
          </w:p>
        </w:tc>
        <w:tc>
          <w:tcPr>
            <w:tcW w:type="dxa" w:w="3816"/>
            <w:shd w:fill="244B5A"/>
            <w:vAlign w:val="center"/>
            <w:tcMar>
              <w:top w:w="90" w:type="dxa"/>
              <w:start w:w="100" w:type="dxa"/>
              <w:bottom w:w="90" w:type="dxa"/>
              <w:end w:w="100" w:type="dxa"/>
            </w:tcMar>
          </w:tcPr>
          <w:p>
            <w:r>
              <w:rPr>
                <w:rFonts w:ascii="Arial" w:hAnsi="Arial"/>
                <w:b/>
                <w:color w:val="FFFFFF"/>
                <w:sz w:val="18"/>
              </w:rPr>
              <w:t>Observed position</w:t>
            </w:r>
          </w:p>
        </w:tc>
        <w:tc>
          <w:tcPr>
            <w:tcW w:type="dxa" w:w="4176"/>
            <w:shd w:fill="244B5A"/>
            <w:vAlign w:val="center"/>
            <w:tcMar>
              <w:top w:w="90" w:type="dxa"/>
              <w:start w:w="100" w:type="dxa"/>
              <w:bottom w:w="90" w:type="dxa"/>
              <w:end w:w="100" w:type="dxa"/>
            </w:tcMar>
          </w:tcPr>
          <w:p>
            <w:r>
              <w:rPr>
                <w:rFonts w:ascii="Arial" w:hAnsi="Arial"/>
                <w:b/>
                <w:color w:val="FFFFFF"/>
                <w:sz w:val="18"/>
              </w:rPr>
              <w:t>Recommended treatment</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Benefit sensitivity</w:t>
            </w:r>
          </w:p>
        </w:tc>
        <w:tc>
          <w:tcPr>
            <w:tcW w:type="dxa" w:w="3816"/>
            <w:vAlign w:val="center"/>
            <w:tcMar>
              <w:top w:w="90" w:type="dxa"/>
              <w:start w:w="100" w:type="dxa"/>
              <w:bottom w:w="90" w:type="dxa"/>
              <w:end w:w="100" w:type="dxa"/>
            </w:tcMar>
          </w:tcPr>
          <w:p>
            <w:pPr>
              <w:spacing w:after="40"/>
            </w:pPr>
            <w:r>
              <w:rPr>
                <w:rFonts w:ascii="Arial" w:hAnsi="Arial"/>
              </w:rP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rPr>
                <w:rFonts w:ascii="Arial" w:hAnsi="Arial"/>
              </w:rP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Defect attribution</w:t>
            </w:r>
          </w:p>
        </w:tc>
        <w:tc>
          <w:tcPr>
            <w:tcW w:type="dxa" w:w="3816"/>
            <w:vAlign w:val="center"/>
            <w:shd w:fill="F1F6F7"/>
            <w:tcMar>
              <w:top w:w="90" w:type="dxa"/>
              <w:start w:w="100" w:type="dxa"/>
              <w:bottom w:w="90" w:type="dxa"/>
              <w:end w:w="100" w:type="dxa"/>
            </w:tcMar>
          </w:tcPr>
          <w:p>
            <w:pPr>
              <w:spacing w:after="40"/>
            </w:pPr>
            <w:r>
              <w:rPr>
                <w:rFonts w:ascii="Arial" w:hAnsi="Arial"/>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rFonts w:ascii="Arial" w:hAnsi="Arial"/>
                <w:sz w:val="17"/>
              </w:rPr>
              <w:t>Attribute defects by work type, responsible role and cause before claiming benefits from carpenter entry controls.</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Scope omissions</w:t>
            </w:r>
          </w:p>
        </w:tc>
        <w:tc>
          <w:tcPr>
            <w:tcW w:type="dxa" w:w="3816"/>
            <w:vAlign w:val="center"/>
            <w:tcMar>
              <w:top w:w="90" w:type="dxa"/>
              <w:start w:w="100" w:type="dxa"/>
              <w:bottom w:w="90" w:type="dxa"/>
              <w:end w:w="100" w:type="dxa"/>
            </w:tcMar>
          </w:tcPr>
          <w:p>
            <w:pPr>
              <w:spacing w:after="40"/>
            </w:pPr>
            <w:r>
              <w:rPr>
                <w:rFonts w:ascii="Arial" w:hAnsi="Arial"/>
              </w:rP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rFonts w:ascii="Arial" w:hAnsi="Arial"/>
                <w:sz w:val="17"/>
              </w:rPr>
              <w:t>Test stairs, passive-fire carpentry, temporary works and cross-trade interfaces against current risk evidence.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Workforce estimates</w:t>
            </w:r>
          </w:p>
        </w:tc>
        <w:tc>
          <w:tcPr>
            <w:tcW w:type="dxa" w:w="3816"/>
            <w:vAlign w:val="center"/>
            <w:shd w:fill="F1F6F7"/>
            <w:tcMar>
              <w:top w:w="90" w:type="dxa"/>
              <w:start w:w="100" w:type="dxa"/>
              <w:bottom w:w="90" w:type="dxa"/>
              <w:end w:w="100" w:type="dxa"/>
            </w:tcMar>
          </w:tcPr>
          <w:p>
            <w:pPr>
              <w:spacing w:after="40"/>
            </w:pPr>
            <w:r>
              <w:rPr>
                <w:rFonts w:ascii="Arial" w:hAnsi="Arial"/>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rFonts w:ascii="Arial" w:hAnsi="Arial"/>
                <w:sz w:val="17"/>
              </w:rPr>
              <w:t>Refresh workforce size, qualification, business structure, region and retirement-profile data.</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Administrative cost</w:t>
            </w:r>
          </w:p>
        </w:tc>
        <w:tc>
          <w:tcPr>
            <w:tcW w:type="dxa" w:w="3816"/>
            <w:vAlign w:val="center"/>
            <w:tcMar>
              <w:top w:w="90" w:type="dxa"/>
              <w:start w:w="100" w:type="dxa"/>
              <w:bottom w:w="90" w:type="dxa"/>
              <w:end w:w="100" w:type="dxa"/>
            </w:tcMar>
          </w:tcPr>
          <w:p>
            <w:pPr>
              <w:spacing w:after="40"/>
            </w:pPr>
            <w:r>
              <w:rPr>
                <w:rFonts w:ascii="Arial" w:hAnsi="Arial"/>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rFonts w:ascii="Arial" w:hAnsi="Arial"/>
                <w:sz w:val="17"/>
              </w:rPr>
              <w:t>Model current BPC systems, staged intake and the cost of credible ongoing enforcement rather than entry processing alone.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Behavioural response</w:t>
            </w:r>
          </w:p>
        </w:tc>
        <w:tc>
          <w:tcPr>
            <w:tcW w:type="dxa" w:w="3816"/>
            <w:vAlign w:val="center"/>
            <w:shd w:fill="F1F6F7"/>
            <w:tcMar>
              <w:top w:w="90" w:type="dxa"/>
              <w:start w:w="100" w:type="dxa"/>
              <w:bottom w:w="90" w:type="dxa"/>
              <w:end w:w="100" w:type="dxa"/>
            </w:tcMar>
          </w:tcPr>
          <w:p>
            <w:pPr>
              <w:spacing w:after="40"/>
            </w:pPr>
            <w:r>
              <w:rPr>
                <w:rFonts w:ascii="Arial" w:hAnsi="Arial"/>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rFonts w:ascii="Arial" w:hAnsi="Arial"/>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Staging and process relief can reduce disruption, but they do not answer whether a restriction is justified. Compare less burdensome controls and narrow, revise or do not introduce additional restrictions where incremental benefit is not established. Where a scheme is justified, use current cost and workforce modelling, lawful continuity, clear role boundaries, independent moderation, regional access and published evaluation. Set feasible review triggers and responsible bodies before commencement; registration numbers alone do not demonstrate success.</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No full-qualification repetition for existing workers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r>
        <w:rPr>
          <w:rFonts w:ascii="Arial" w:hAnsi="Arial"/>
        </w:rPr>
        <w:t>Evaluation should also measure applicant time and cost, transitional backlog, regional access and incremental benefit relative to alternatives. Retain selection, attribution and incomplete-data limitations. Review scope, conditions or implementation where outcomes or burdens depart materially from the model, using feasible triggers and assigned responsibility.</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232"/>
            <w:shd w:fill="244B5A"/>
            <w:vAlign w:val="center"/>
            <w:tcMar>
              <w:top w:w="90" w:type="dxa"/>
              <w:start w:w="100" w:type="dxa"/>
              <w:bottom w:w="90" w:type="dxa"/>
              <w:end w:w="100" w:type="dxa"/>
            </w:tcMar>
          </w:tcPr>
          <w:p>
            <w:r>
              <w:rPr>
                <w:rFonts w:ascii="Arial" w:hAnsi="Arial"/>
                <w:b/>
                <w:color w:val="FFFFFF"/>
                <w:sz w:val="18"/>
              </w:rPr>
              <w:t>Outcome</w:t>
            </w:r>
          </w:p>
        </w:tc>
        <w:tc>
          <w:tcPr>
            <w:tcW w:type="dxa" w:w="7560"/>
            <w:shd w:fill="244B5A"/>
            <w:vAlign w:val="center"/>
            <w:tcMar>
              <w:top w:w="90" w:type="dxa"/>
              <w:start w:w="100" w:type="dxa"/>
              <w:bottom w:w="90" w:type="dxa"/>
              <w:end w:w="100" w:type="dxa"/>
            </w:tcMar>
          </w:tcPr>
          <w:p>
            <w:r>
              <w:rPr>
                <w:rFonts w:ascii="Arial" w:hAnsi="Arial"/>
                <w:b/>
                <w:color w:val="FFFFFF"/>
                <w:sz w:val="18"/>
              </w:rPr>
              <w:t>Example measures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Building quality</w:t>
            </w:r>
          </w:p>
        </w:tc>
        <w:tc>
          <w:tcPr>
            <w:tcW w:type="dxa" w:w="7560"/>
            <w:vAlign w:val="center"/>
            <w:tcMar>
              <w:top w:w="90" w:type="dxa"/>
              <w:start w:w="100" w:type="dxa"/>
              <w:bottom w:w="90" w:type="dxa"/>
              <w:end w:w="100" w:type="dxa"/>
            </w:tcMar>
          </w:tcPr>
          <w:p>
            <w:pPr>
              <w:spacing w:after="40"/>
            </w:pPr>
            <w:r>
              <w:rPr>
                <w:rFonts w:ascii="Arial" w:hAnsi="Arial"/>
                <w:sz w:val="17"/>
              </w:rPr>
              <w:t>Attributed defect rate and severity; rectification orders; recurrence by work type; concealed-work failures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Accountability</w:t>
            </w:r>
          </w:p>
        </w:tc>
        <w:tc>
          <w:tcPr>
            <w:tcW w:type="dxa" w:w="7560"/>
            <w:vAlign w:val="center"/>
            <w:shd w:fill="F1F6F7"/>
            <w:tcMar>
              <w:top w:w="90" w:type="dxa"/>
              <w:start w:w="100" w:type="dxa"/>
              <w:bottom w:w="90" w:type="dxa"/>
              <w:end w:w="100" w:type="dxa"/>
            </w:tcMar>
          </w:tcPr>
          <w:p>
            <w:pPr>
              <w:spacing w:after="40"/>
            </w:pPr>
            <w:r>
              <w:rPr>
                <w:rFonts w:ascii="Arial" w:hAnsi="Arial"/>
                <w:sz w:val="17"/>
              </w:rPr>
              <w:t>Practitioner traceability; complaint resolution; disciplinary timeliness; compliance after education or enforcement</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Skills</w:t>
            </w:r>
          </w:p>
        </w:tc>
        <w:tc>
          <w:tcPr>
            <w:tcW w:type="dxa" w:w="7560"/>
            <w:vAlign w:val="center"/>
            <w:tcMar>
              <w:top w:w="90" w:type="dxa"/>
              <w:start w:w="100" w:type="dxa"/>
              <w:bottom w:w="90" w:type="dxa"/>
              <w:end w:w="100" w:type="dxa"/>
            </w:tcMar>
          </w:tcPr>
          <w:p>
            <w:pPr>
              <w:spacing w:after="40"/>
            </w:pPr>
            <w:r>
              <w:rPr>
                <w:rFonts w:ascii="Arial" w:hAnsi="Arial"/>
                <w:sz w:val="17"/>
              </w:rPr>
              <w:t>Apprenticeship completion; recognition outcomes; gap-training completion; reassessment success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Workforce</w:t>
            </w:r>
          </w:p>
        </w:tc>
        <w:tc>
          <w:tcPr>
            <w:tcW w:type="dxa" w:w="7560"/>
            <w:vAlign w:val="center"/>
            <w:shd w:fill="F1F6F7"/>
            <w:tcMar>
              <w:top w:w="90" w:type="dxa"/>
              <w:start w:w="100" w:type="dxa"/>
              <w:bottom w:w="90" w:type="dxa"/>
              <w:end w:w="100" w:type="dxa"/>
            </w:tcMar>
          </w:tcPr>
          <w:p>
            <w:pPr>
              <w:spacing w:after="40"/>
            </w:pPr>
            <w:r>
              <w:rPr>
                <w:rFonts w:ascii="Arial" w:hAnsi="Arial"/>
                <w:sz w:val="17"/>
              </w:rPr>
              <w:t>Active practitioners; exits; regional shortages; processing delay; cost and time burden; illegal-work indicators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Consumer confidence</w:t>
            </w:r>
          </w:p>
        </w:tc>
        <w:tc>
          <w:tcPr>
            <w:tcW w:type="dxa" w:w="7560"/>
            <w:vAlign w:val="center"/>
            <w:tcMar>
              <w:top w:w="90" w:type="dxa"/>
              <w:start w:w="100" w:type="dxa"/>
              <w:bottom w:w="90" w:type="dxa"/>
              <w:end w:w="100" w:type="dxa"/>
            </w:tcMar>
          </w:tcPr>
          <w:p>
            <w:pPr>
              <w:spacing w:after="40"/>
            </w:pPr>
            <w:r>
              <w:rPr>
                <w:rFonts w:ascii="Arial" w:hAnsi="Arial"/>
                <w:sz w:val="17"/>
              </w:rPr>
              <w:t>Understanding of scope; ability to verify status; complaints about misleading authority; survey confidence</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System performance</w:t>
            </w:r>
          </w:p>
        </w:tc>
        <w:tc>
          <w:tcPr>
            <w:tcW w:type="dxa" w:w="7560"/>
            <w:vAlign w:val="center"/>
            <w:shd w:fill="F1F6F7"/>
            <w:tcMar>
              <w:top w:w="90" w:type="dxa"/>
              <w:start w:w="100" w:type="dxa"/>
              <w:bottom w:w="90" w:type="dxa"/>
              <w:end w:w="100" w:type="dxa"/>
            </w:tcMar>
          </w:tcPr>
          <w:p>
            <w:pPr>
              <w:spacing w:after="40"/>
            </w:pPr>
            <w:r>
              <w:rPr>
                <w:rFonts w:ascii="Arial" w:hAnsi="Arial"/>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r>
        <w:rPr>
          <w:rFonts w:ascii="Arial" w:hAnsi="Arial"/>
        </w:rPr>
        <w:t>These are materials available for discussion, not a list of attachments supplied with this draft. External distribution of sensitive assessment content requires separate clearance; none of the instruments is presented as a validated regulatory assessment.</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working materials remain capability-first and adaptable to different regulatory mechanisms. This submission proposes RRC as a candidate for a bounded pilot, without predetermining the eventual statutory vehicle, criticising current DB-L practitioners or claiming government or regulator endorsement.</w:t>
      </w:r>
    </w:p>
    <w:p>
      <w:pPr>
        <w:pStyle w:val="Heading1"/>
        <w:keepNext/>
      </w:pPr>
      <w:r>
        <w:rPr>
          <w:rFonts w:ascii="Arial" w:hAnsi="Arial"/>
        </w:rPr>
        <w:t>Conclusion</w:t>
      </w:r>
    </w:p>
    <w:p>
      <w:r>
        <w:rPr>
          <w:rFonts w:ascii="Arial" w:hAnsi="Arial"/>
        </w:rPr>
        <w:t>Victoria has a credible opportunity to improve accountability and occupational clarity while preserving workforce capability. This initiative recommends a residential-only carpenter baseline, with proportionate work-and-risk requirements, technical competence separated from contracting authority, reliable recognition of existing competence and clear builder and specialist boundaries. Advanced residential capability remains a separate progression question. Retain alternatives where evidence shows better coverage, enforceability or transition outcomes.</w:t>
      </w:r>
    </w:p>
    <w:p>
      <w:pPr>
        <w:keepLines/>
      </w:pPr>
      <w:r>
        <w:rPr>
          <w:rFonts w:ascii="Arial" w:hAnsi="Arial"/>
        </w:rPr>
        <w:t>I support baseline residential carpenter registration in principle, with government still needing to justify its scope, cost, assessment and transition arrangements. I offer practical collaboration to develop and evaluate a bounded RRC pilot for additional residential capability. Define its function, scope, assessment, lawful authority and controls before wider rollout. Retain alternative mechanisms and existing builder pathways; change or discontinue the additional pathway if the evidence does not support it.</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spacing w:after="80"/>
      </w:pPr>
      <w:r>
        <w:rPr>
          <w:rFonts w:ascii="Arial" w:hAnsi="Arial"/>
        </w:rPr>
        <w:t>Project working documents are listed under Material offered for further discussion.</w:t>
      </w:r>
    </w:p>
    <w:p>
      <w:pPr>
        <w:pStyle w:val="ListNumber"/>
      </w:pPr>
      <w:r>
        <w:rPr>
          <w:rFonts w:ascii="Arial" w:hAnsi="Arial"/>
        </w:rPr>
        <w:t>Carpenters for Housing Reform Victoria, DTP Carpentry Consultation Meeting Record, 29 September 2026, v0.1, docs/evidence/dtp-carpentry-consultation-meeting-record-2026-09-29-v0.1.md. Partial transcript approximately 00:28–10:55; structured record and summary separately classified. [5]</w:t>
      </w:r>
    </w:p>
    <w:p>
      <w:pPr>
        <w:pStyle w:val="ListNumber"/>
      </w:pPr>
      <w:r>
        <w:rPr>
          <w:rFonts w:ascii="Arial" w:hAnsi="Arial"/>
        </w:rPr>
        <w:t>Department of Transport and Planning, Implementing trades registration &amp; licensing, seven-slide consultation presentation supplied as Trades Registration - Slidedeck.pdf and circulated with the 6 October email. Slides 2–6 cited by number. No visible publication date. [6]</w:t>
      </w:r>
    </w:p>
    <w:p>
      <w:pPr>
        <w:pStyle w:val="ListNumber"/>
      </w:pPr>
      <w:r>
        <w:rPr>
          <w:rFonts w:ascii="Arial" w:hAnsi="Arial"/>
        </w:rPr>
        <w:t>Building Policy and Reform, Department of Transport and Planning, email dated 6 October 2026, 1:13 pm, Thank you for attending the trades registration and licensing consultation session, building.policy@transport.vic.gov.au. Departmental synthesis supplied as five screenshots; not a transcript or final policy decision. [7]</w:t>
      </w:r>
    </w:p>
    <w:p>
      <w:pPr>
        <w:pStyle w:val="ListNumber"/>
      </w:pPr>
      <w:r>
        <w:rPr>
          <w:rFonts w:ascii="Arial" w:hAnsi="Arial"/>
        </w:rPr>
        <w:t>Building and Plumbing Commission, Licensing and registration reforms, accessed 7 October 2026, https://www.bpc.vic.gov.au/resource-hub/industry-updates/licensing-and-registration-reforms. General operating-model guidance; not a future carpenter assessment specification. [8]</w:t>
      </w:r>
    </w:p>
    <w:p>
      <w:pPr>
        <w:pStyle w:val="ListNumber"/>
      </w:pPr>
      <w:r>
        <w:rPr>
          <w:rFonts w:ascii="Arial" w:hAnsi="Arial"/>
        </w:rPr>
        <w:t>Courtney Gleeson, Communications and Engagement Manager – Building, Department of Transport and Planning, reply to Dan Sonsie’s email of 7 October 2026, 9:44 pm; reply text supplied by Dan on 8 October 2026. Incoming date not supplied. Refers to historical RIS sections 1.3, 1.3.2, 3.3.4, 3.3.4.1 and Chapter 2; continuing-discussion contact pending. [9]</w:t>
      </w:r>
    </w:p>
    <w:p>
      <w:pPr>
        <w:pStyle w:val="ListNumber"/>
      </w:pPr>
      <w:r>
        <w:rPr>
          <w:rFonts w:ascii="Arial" w:hAnsi="Arial"/>
        </w:rPr>
        <w:t>Domestic Building Contracts Act 1995, authorised version 094 incorporating amendments as at 1 July 2026, sections 3 and 29; checked 8 October 2026. https://www.legislation.vic.gov.au/in-force/acts/domestic-building-contracts-act-1995/094 [10]</w:t>
      </w:r>
    </w:p>
    <w:p>
      <w:pPr>
        <w:pStyle w:val="ListNumber"/>
      </w:pPr>
      <w:r>
        <w:rPr>
          <w:rFonts w:ascii="Arial" w:hAnsi="Arial"/>
        </w:rPr>
        <w:t>Domestic Building Contracts Regulations 2017, authorised version 004, regulation 6; checked 8 October 2026. https://www.legislation.vic.gov.au/in-force/statutory-rules/domestic-building-contracts-regulations-2017/004 [11]</w:t>
      </w:r>
    </w:p>
    <w:p>
      <w:pPr>
        <w:pStyle w:val="ListNumber"/>
      </w:pPr>
      <w:r>
        <w:rPr>
          <w:rFonts w:ascii="Arial" w:hAnsi="Arial"/>
        </w:rPr>
        <w:t>Department of Transport and Planning, Notice of Preparation of Regulatory Impact Statement, Proposed Domestic Building Contracts Amendment Regulations 2026, 18 August 2026. Separate contract-reform process; the proposed $20,000 threshold and reported timing are attributed to departmental correspondence [9], not treated as an operative change. https://www.vic.gov.au/notice-preparation-regulatory-impact-statement-24 [12]</w:t>
      </w:r>
    </w:p>
    <w:p>
      <w:pPr>
        <w:pStyle w:val="ListNumber"/>
      </w:pPr>
      <w:r>
        <w:rPr>
          <w:rFonts w:ascii="Arial" w:hAnsi="Arial"/>
        </w:rPr>
        <w:t>Building and Plumbing Commission, Landscaping, accessed 10 October 2026. Deck permit guidance; permit requirements must be assessed separately from fall-barrier rules. https://www.bpc.vic.gov.au/home-owners/home-renovation-and-building-essentials/landscaping [13]</w:t>
      </w:r>
    </w:p>
    <w:p>
      <w:pPr>
        <w:pStyle w:val="ListNumber"/>
      </w:pPr>
      <w:r>
        <w:rPr>
          <w:rFonts w:ascii="Arial" w:hAnsi="Arial"/>
        </w:rPr>
        <w:t>WoodSolutions, Domestic Timber Deck Design, accessed 10 October 2026. Industry design guidance on dimensions, stress grades, spans, connections and exposure-appropriate durability and treatment; not project-specific approval. https://www.woodsolutions.com.au/publications/domestic-timber-deck-design [14]</w:t>
      </w:r>
    </w:p>
    <w:p>
      <w:pPr>
        <w:pStyle w:val="ListNumber"/>
      </w:pPr>
      <w:r>
        <w:rPr>
          <w:rFonts w:ascii="Arial" w:hAnsi="Arial"/>
        </w:rPr>
        <w:t>Australian Skills Quality Authority, Credit transfer and recognition of prior learning, accessed 10 October 2026. Evidence-based recognition, additional training and warnings about inadequate assessment and misleading marketing. https://www.asqa.gov.au/for-students/credit-transfer-and-recognition-prior-learning [15]</w:t>
      </w:r>
    </w:p>
    <w:p>
      <w:pPr>
        <w:pStyle w:val="ListNumber"/>
      </w:pPr>
      <w:r>
        <w:rPr>
          <w:rFonts w:ascii="Arial" w:hAnsi="Arial"/>
        </w:rPr>
        <w:t>DLI Training, Certificate III in Carpentry, and National Skills, CPC30220 Certificate III in Carpentry, provider pages accessed 10 October 2026. Approximately three-month RPL offers are distinguished from initial trade training; no provider misconduct or individual assessment failure is inferred. These pages describe CPC30220 and do not establish the current qualification-transition or future licensing rules. https://www.dlitraining.edu.au/certificate-iii-in-carpentry/ and https://lms.nationalskills.com.au/qualifications/cpc30220 [16]</w:t>
      </w:r>
    </w:p>
    <w:p>
      <w:pPr>
        <w:pStyle w:val="ListNumber"/>
      </w:pPr>
      <w:r>
        <w:rPr>
          <w:rFonts w:ascii="Arial" w:hAnsi="Arial"/>
        </w:rPr>
        <w:t>Building and Plumbing Commission, Arrange Home Warranty for a project and Domestic Building Insurance and Home Warranty, checked 10 October 2026. Current project insurance guidance, separate from the major domestic building contract threshold and future carpenter-scheme settings. https://www.bpc.vic.gov.au/builders/builders-insurance/arrange-home-warranty-for-a-project and https://www.bpc.vic.gov.au/home-owners/insurance-for-domestic-building-work/domestic-building-insurance-and-home-warranty [17]</w:t>
      </w:r>
    </w:p>
    <w:p>
      <w:pPr>
        <w:pStyle w:val="ListNumber"/>
      </w:pPr>
      <w:r>
        <w:rPr>
          <w:rFonts w:ascii="Arial" w:hAnsi="Arial"/>
        </w:rPr>
        <w:t>NSW Government, Carpentry work, checked 10 October 2026. Defined carpentry scope and contractor / supervisor licence types; interstate comparison, not Victorian authority or pilot evaluation. https://www.nsw.gov.au/business-and-economy/licences-and-credentials/building-and-trade-licences-and-registrations/carpentry-work [18]</w:t>
      </w:r>
    </w:p>
    <w:p>
      <w:pPr>
        <w:pStyle w:val="ListNumber"/>
      </w:pPr>
      <w:r>
        <w:rPr>
          <w:rFonts w:ascii="Arial" w:hAnsi="Arial"/>
        </w:rPr>
        <w:t>Queensland Building and Construction Commission, Carpentry and Which licence type you need, checked 10 October 2026. Defined class, direct-contracting licence type and role requirements; interstate comparison, not evidence of causal defect reduction. https://qbcc.qld.gov.au/licences/apply-licence/available-licences/other-trade/carpentry and https://www.qbcc.qld.gov.au/licences/start-your-career/which-licence-type-you-need [19]</w:t>
      </w:r>
    </w:p>
    <w:p>
      <w:pPr>
        <w:pStyle w:val="ListNumber"/>
      </w:pPr>
      <w:r>
        <w:rPr>
          <w:rFonts w:ascii="Arial" w:hAnsi="Arial"/>
        </w:rPr>
        <w:t>Victorian Budget 2026/27, Making life more affordable, checked 10 October 2026. $16 million for implementing registration and licensing requirements; no allocation or commitment to this RRC proposal established. https://www.2026.budget.vic.gov.au/making-life-more-affordable [20]</w:t>
      </w:r>
    </w:p>
    <w:p>
      <w:pPr>
        <w:pStyle w:val="Heading1"/>
        <w:keepNext/>
        <w:pageBreakBefore/>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448"/>
            <w:shd w:fill="244B5A"/>
            <w:vAlign w:val="center"/>
            <w:tcMar>
              <w:top w:w="90" w:type="dxa"/>
              <w:start w:w="100" w:type="dxa"/>
              <w:bottom w:w="90" w:type="dxa"/>
              <w:end w:w="100" w:type="dxa"/>
            </w:tcMar>
          </w:tcPr>
          <w:p>
            <w:r>
              <w:rPr>
                <w:rFonts w:ascii="Arial" w:hAnsi="Arial"/>
                <w:b/>
                <w:color w:val="FFFFFF"/>
                <w:sz w:val="18"/>
              </w:rPr>
              <w:t>Field</w:t>
            </w:r>
          </w:p>
        </w:tc>
        <w:tc>
          <w:tcPr>
            <w:tcW w:type="dxa" w:w="7344"/>
            <w:shd w:fill="244B5A"/>
            <w:vAlign w:val="center"/>
            <w:tcMar>
              <w:top w:w="90" w:type="dxa"/>
              <w:start w:w="100" w:type="dxa"/>
              <w:bottom w:w="90" w:type="dxa"/>
              <w:end w:w="100" w:type="dxa"/>
            </w:tcMar>
          </w:tcPr>
          <w:p>
            <w:r>
              <w:rPr>
                <w:rFonts w:ascii="Arial" w:hAnsi="Arial"/>
                <w:b/>
                <w:color w:val="FFFFFF"/>
                <w:sz w:val="18"/>
              </w:rPr>
              <w:t>Value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Version</w:t>
            </w:r>
          </w:p>
        </w:tc>
        <w:tc>
          <w:tcPr>
            <w:tcW w:type="dxa" w:w="7344"/>
            <w:vAlign w:val="center"/>
            <w:tcMar>
              <w:top w:w="90" w:type="dxa"/>
              <w:start w:w="100" w:type="dxa"/>
              <w:bottom w:w="90" w:type="dxa"/>
              <w:end w:w="100" w:type="dxa"/>
            </w:tcMar>
          </w:tcPr>
          <w:p>
            <w:r>
              <w:rPr>
                <w:rFonts w:ascii="Arial" w:hAnsi="Arial"/>
              </w:rPr>
              <w:t>0.4 Review 7</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Status</w:t>
            </w:r>
          </w:p>
        </w:tc>
        <w:tc>
          <w:tcPr>
            <w:tcW w:type="dxa" w:w="7344"/>
            <w:vAlign w:val="center"/>
            <w:shd w:fill="F1F6F7"/>
            <w:tcMar>
              <w:top w:w="90" w:type="dxa"/>
              <w:start w:w="100" w:type="dxa"/>
              <w:bottom w:w="90" w:type="dxa"/>
              <w:end w:w="100" w:type="dxa"/>
            </w:tcMar>
          </w:tcPr>
          <w:p>
            <w:pPr>
              <w:spacing w:after="40"/>
            </w:pPr>
            <w:r>
              <w:rPr>
                <w:rFonts w:ascii="Arial" w:hAnsi="Arial"/>
                <w:sz w:val="17"/>
              </w:rPr>
              <w:t>Submission candidate awaiting Dan’s final approval; not submitted</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Author</w:t>
            </w:r>
          </w:p>
        </w:tc>
        <w:tc>
          <w:tcPr>
            <w:tcW w:type="dxa" w:w="7344"/>
            <w:vAlign w:val="center"/>
            <w:tcMar>
              <w:top w:w="90" w:type="dxa"/>
              <w:start w:w="100" w:type="dxa"/>
              <w:bottom w:w="90" w:type="dxa"/>
              <w:end w:w="100" w:type="dxa"/>
            </w:tcMar>
          </w:tcPr>
          <w:p>
            <w:pPr>
              <w:spacing w:after="40"/>
            </w:pPr>
            <w:r>
              <w:rPr>
                <w:rFonts w:ascii="Arial" w:hAnsi="Arial"/>
                <w:sz w:val="17"/>
              </w:rPr>
              <w:t>Carpenters for Housing Reform Victoria</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Evidence custodian</w:t>
            </w:r>
          </w:p>
        </w:tc>
        <w:tc>
          <w:tcPr>
            <w:tcW w:type="dxa" w:w="7344"/>
            <w:vAlign w:val="center"/>
            <w:shd w:fill="F1F6F7"/>
            <w:tcMar>
              <w:top w:w="90" w:type="dxa"/>
              <w:start w:w="100" w:type="dxa"/>
              <w:bottom w:w="90" w:type="dxa"/>
              <w:end w:w="100" w:type="dxa"/>
            </w:tcMar>
          </w:tcPr>
          <w:p>
            <w:pPr>
              <w:spacing w:after="40"/>
            </w:pPr>
            <w:r>
              <w:rPr>
                <w:rFonts w:ascii="Arial" w:hAnsi="Arial"/>
                <w:sz w:val="17"/>
              </w:rPr>
              <w:t>Dan Sonsie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Prepared</w:t>
            </w:r>
          </w:p>
        </w:tc>
        <w:tc>
          <w:tcPr>
            <w:tcW w:type="dxa" w:w="7344"/>
            <w:vAlign w:val="center"/>
            <w:tcMar>
              <w:top w:w="90" w:type="dxa"/>
              <w:start w:w="100" w:type="dxa"/>
              <w:bottom w:w="90" w:type="dxa"/>
              <w:end w:w="100" w:type="dxa"/>
            </w:tcMar>
          </w:tcPr>
          <w:p>
            <w:r>
              <w:rPr>
                <w:rFonts w:ascii="Arial" w:hAnsi="Arial"/>
              </w:rPr>
              <w:t>10 October 2026; evolved from unchanged v0.3 dated 15 September 2026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Submission deadline</w:t>
            </w:r>
          </w:p>
        </w:tc>
        <w:tc>
          <w:tcPr>
            <w:tcW w:type="dxa" w:w="7344"/>
            <w:vAlign w:val="center"/>
            <w:shd w:fill="F1F6F7"/>
            <w:tcMar>
              <w:top w:w="90" w:type="dxa"/>
              <w:start w:w="100" w:type="dxa"/>
              <w:bottom w:w="90" w:type="dxa"/>
              <w:end w:w="100" w:type="dxa"/>
            </w:tcMar>
          </w:tcPr>
          <w:p>
            <w:pPr>
              <w:spacing w:after="40"/>
            </w:pPr>
            <w:r>
              <w:rPr>
                <w:rFonts w:ascii="Arial" w:hAnsi="Arial"/>
                <w:sz w:val="17"/>
              </w:rPr>
              <w:t>11 October 2026</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External endorsement</w:t>
            </w:r>
          </w:p>
        </w:tc>
        <w:tc>
          <w:tcPr>
            <w:tcW w:type="dxa" w:w="7344"/>
            <w:vAlign w:val="center"/>
            <w:tcMar>
              <w:top w:w="90" w:type="dxa"/>
              <w:start w:w="100" w:type="dxa"/>
              <w:bottom w:w="90" w:type="dxa"/>
              <w:end w:w="100" w:type="dxa"/>
            </w:tcMar>
          </w:tcPr>
          <w:p>
            <w:pPr>
              <w:spacing w:after="40"/>
            </w:pPr>
            <w:r>
              <w:rPr>
                <w:rFonts w:ascii="Arial" w:hAnsi="Arial"/>
                <w:sz w:val="17"/>
              </w:rPr>
              <w:t>None claimed</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Next gate</w:t>
            </w:r>
          </w:p>
        </w:tc>
        <w:tc>
          <w:tcPr>
            <w:tcW w:type="dxa" w:w="7344"/>
            <w:vAlign w:val="center"/>
            <w:shd w:fill="F1F6F7"/>
            <w:tcMar>
              <w:top w:w="90" w:type="dxa"/>
              <w:start w:w="100" w:type="dxa"/>
              <w:bottom w:w="90" w:type="dxa"/>
              <w:end w:w="100" w:type="dxa"/>
            </w:tcMar>
          </w:tcPr>
          <w:p>
            <w:r>
              <w:rPr>
                <w:rFonts w:ascii="Arial" w:hAnsi="Arial"/>
              </w:rPr>
              <w:t>D01, D02 and D03 retained. Future scheme questions remain unresolved. Review 7 is prepared for Dan’s final approval before submission or publication.</w:t>
            </w:r>
          </w:p>
        </w:tc>
      </w:tr>
      <w:tr>
        <w:trPr>
          <w:cantSplit/>
        </w:trPr>
        <w:tc>
          <w:tcPr>
            <w:tcW w:type="dxa" w:w="4997"/>
          </w:tcPr>
          <w:p>
            <w:r>
              <w:rPr>
                <w:rFonts w:ascii="Arial" w:hAnsi="Arial"/>
              </w:rPr>
              <w:t>Drafting authority</w:t>
            </w:r>
          </w:p>
        </w:tc>
        <w:tc>
          <w:tcPr>
            <w:tcW w:type="dxa" w:w="4997"/>
          </w:tcPr>
          <w:p>
            <w:r>
              <w:rPr>
                <w:rFonts w:ascii="Arial" w:hAnsi="Arial"/>
              </w:rPr>
              <w:t>Dan authorised the interview changes, attribution and pilot direction on 10 October 2026. Final submission, publication and merge approval remain outstanding.</w:t>
            </w:r>
          </w:p>
        </w:tc>
      </w:tr>
      <w:tr>
        <w:tc>
          <w:tcPr>
            <w:tcW w:type="dxa" w:w="4997"/>
          </w:tcPr>
          <w:p>
            <w:r>
              <w:rPr>
                <w:rFonts w:ascii="Arial" w:hAnsi="Arial"/>
              </w:rPr>
              <w:t>Scope decision</w:t>
            </w:r>
          </w:p>
        </w:tc>
        <w:tc>
          <w:tcPr>
            <w:tcW w:type="dxa" w:w="4997"/>
          </w:tcPr>
          <w:p>
            <w:r>
              <w:rPr>
                <w:rFonts w:ascii="Arial" w:hAnsi="Arial"/>
              </w:rPr>
              <w:t>Dan approved a residential-only baseline on 7 October 2026. Government adoption is not claimed; specialist, mixed-use and statutory boundaries require review.</w:t>
            </w:r>
          </w:p>
        </w:tc>
      </w:tr>
      <w:tr>
        <w:tc>
          <w:tcPr>
            <w:tcW w:type="dxa" w:w="4997"/>
          </w:tcPr>
          <w:p>
            <w:r>
              <w:rPr>
                <w:rFonts w:ascii="Arial" w:hAnsi="Arial"/>
              </w:rPr>
              <w:t>Role decision</w:t>
            </w:r>
          </w:p>
        </w:tc>
        <w:tc>
          <w:tcPr>
            <w:tcW w:type="dxa" w:w="4997"/>
          </w:tcPr>
          <w:p>
            <w:r>
              <w:rPr>
                <w:rFonts w:ascii="Arial" w:hAnsi="Arial"/>
              </w:rPr>
              <w:t>Dan approved common technical competence with separate role requirements on 7 October 2026. No new consumer-contracting or builder authority implied; statutory terminology remains subject to review.</w:t>
            </w:r>
          </w:p>
        </w:tc>
      </w:tr>
      <w:tr>
        <w:tc>
          <w:tcPr>
            <w:tcW w:type="dxa" w:w="4997"/>
          </w:tcPr>
          <w:p>
            <w:r>
              <w:rPr>
                <w:rFonts w:ascii="Arial" w:hAnsi="Arial"/>
              </w:rPr>
              <w:t>Entry decision</w:t>
            </w:r>
          </w:p>
        </w:tc>
        <w:tc>
          <w:tcPr>
            <w:tcW w:type="dxa" w:w="4997"/>
          </w:tcPr>
          <w:p>
            <w:r>
              <w:rPr>
                <w:rFonts w:ascii="Arial" w:hAnsi="Arial"/>
              </w:rPr>
              <w:t>Dan approved future entrant apprenticeship plus Certificate III, with verified existing-worker equivalence and targeted gap training, on 8 October 2026. Government adoption is not claimed.</w:t>
            </w:r>
          </w:p>
        </w:tc>
      </w:tr>
      <w:tr>
        <w:tc>
          <w:tcPr>
            <w:tcW w:type="dxa" w:w="4997"/>
          </w:tcPr>
          <w:p>
            <w:r>
              <w:rPr>
                <w:rFonts w:ascii="Arial" w:hAnsi="Arial"/>
              </w:rPr>
              <w:t>Departmental reply</w:t>
            </w:r>
          </w:p>
        </w:tc>
        <w:tc>
          <w:tcPr>
            <w:tcW w:type="dxa" w:w="4997"/>
          </w:tcPr>
          <w:p>
            <w:r>
              <w:rPr>
                <w:rFonts w:ascii="Arial" w:hAnsi="Arial"/>
              </w:rPr>
              <w:t>Reply supplied 8 October 2026. Historical RIS status retained; $20,000 contract threshold remains proposed; contact for capability and wet-area discussion pending.</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Carpenters for Housing Reform Victoria | v0.4 Review 7 | Submission candidate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working draft version 0.4 Review 4</dc:subject>
  <dc:creator>Carpenters for Housing Reform Victoria</dc:creator>
  <cp:keywords/>
  <dc:description>Controlled Review 4; not submitted; D01 D02 D03 drafting approvals recorded.</dc:description>
  <cp:lastModifiedBy/>
  <cp:revision>1</cp:revision>
  <dcterms:created xsi:type="dcterms:W3CDTF">2013-12-23T23:15:00Z</dcterms:created>
  <dcterms:modified xsi:type="dcterms:W3CDTF">2013-12-23T23:15:00Z</dcterms:modified>
  <cp:category/>
</cp:coreProperties>
</file>