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2"/>
        <w:gridCol w:w="542"/>
        <w:gridCol w:w="542"/>
        <w:gridCol w:w="542"/>
        <w:gridCol w:w="542"/>
        <w:gridCol w:w="542"/>
        <w:gridCol w:w="542"/>
        <w:gridCol w:w="542"/>
        <w:gridCol w:w="542"/>
        <w:gridCol w:w="542"/>
        <w:gridCol w:w="542"/>
        <w:gridCol w:w="542"/>
        <w:gridCol w:w="542"/>
        <w:gridCol w:w="542"/>
        <w:gridCol w:w="542"/>
        <w:gridCol w:w="542"/>
      </w:tblGrid>
      <w:tr>
        <w:tc>
          <w:tcPr>
            <w:tcW w:type="dxa" w:w="542"/>
          </w:tcPr>
          <w:p>
            <w:pPr>
              <w:jc w:val="center"/>
            </w:pPr>
            <w:r>
              <w:rPr>
                <w:b/>
              </w:rPr>
            </w:r>
            <w:r>
              <w:rPr>
                <w:rFonts w:ascii="Times New Roman" w:hAnsi="Times New Roman" w:eastAsia="Times New Roman"/>
                <w:b/>
                <w:i w:val="0"/>
                <w:sz w:val="24"/>
              </w:rPr>
              <w:t>Task</w:t>
            </w:r>
          </w:p>
        </w:tc>
        <w:tc>
          <w:tcPr>
            <w:tcW w:type="dxa" w:w="542"/>
          </w:tcPr>
          <w:p>
            <w:pPr>
              <w:jc w:val="center"/>
            </w:pPr>
            <w:r>
              <w:rPr>
                <w:b/>
              </w:rPr>
            </w:r>
            <w:r>
              <w:rPr>
                <w:rFonts w:ascii="Times New Roman" w:hAnsi="Times New Roman" w:eastAsia="Times New Roman"/>
                <w:b/>
                <w:i w:val="0"/>
                <w:sz w:val="24"/>
              </w:rPr>
              <w:t>W1</w:t>
            </w:r>
          </w:p>
        </w:tc>
        <w:tc>
          <w:tcPr>
            <w:tcW w:type="dxa" w:w="542"/>
          </w:tcPr>
          <w:p>
            <w:pPr>
              <w:jc w:val="center"/>
            </w:pPr>
            <w:r>
              <w:rPr>
                <w:b/>
              </w:rPr>
            </w:r>
            <w:r>
              <w:rPr>
                <w:rFonts w:ascii="Times New Roman" w:hAnsi="Times New Roman" w:eastAsia="Times New Roman"/>
                <w:b/>
                <w:i w:val="0"/>
                <w:sz w:val="24"/>
              </w:rPr>
              <w:t>W2</w:t>
            </w:r>
          </w:p>
        </w:tc>
        <w:tc>
          <w:tcPr>
            <w:tcW w:type="dxa" w:w="542"/>
          </w:tcPr>
          <w:p>
            <w:pPr>
              <w:jc w:val="center"/>
            </w:pPr>
            <w:r>
              <w:rPr>
                <w:b/>
              </w:rPr>
            </w:r>
            <w:r>
              <w:rPr>
                <w:rFonts w:ascii="Times New Roman" w:hAnsi="Times New Roman" w:eastAsia="Times New Roman"/>
                <w:b/>
                <w:i w:val="0"/>
                <w:sz w:val="24"/>
              </w:rPr>
              <w:t>W3</w:t>
            </w:r>
          </w:p>
        </w:tc>
        <w:tc>
          <w:tcPr>
            <w:tcW w:type="dxa" w:w="542"/>
          </w:tcPr>
          <w:p>
            <w:pPr>
              <w:jc w:val="center"/>
            </w:pPr>
            <w:r>
              <w:rPr>
                <w:b/>
              </w:rPr>
            </w:r>
            <w:r>
              <w:rPr>
                <w:rFonts w:ascii="Times New Roman" w:hAnsi="Times New Roman" w:eastAsia="Times New Roman"/>
                <w:b/>
                <w:i w:val="0"/>
                <w:sz w:val="24"/>
              </w:rPr>
              <w:t>W4</w:t>
            </w:r>
          </w:p>
        </w:tc>
        <w:tc>
          <w:tcPr>
            <w:tcW w:type="dxa" w:w="542"/>
          </w:tcPr>
          <w:p>
            <w:pPr>
              <w:jc w:val="center"/>
            </w:pPr>
            <w:r>
              <w:rPr>
                <w:b/>
              </w:rPr>
            </w:r>
            <w:r>
              <w:rPr>
                <w:rFonts w:ascii="Times New Roman" w:hAnsi="Times New Roman" w:eastAsia="Times New Roman"/>
                <w:b/>
                <w:i w:val="0"/>
                <w:sz w:val="24"/>
              </w:rPr>
              <w:t>W5</w:t>
            </w:r>
          </w:p>
        </w:tc>
        <w:tc>
          <w:tcPr>
            <w:tcW w:type="dxa" w:w="542"/>
          </w:tcPr>
          <w:p>
            <w:pPr>
              <w:jc w:val="center"/>
            </w:pPr>
            <w:r>
              <w:rPr>
                <w:b/>
              </w:rPr>
            </w:r>
            <w:r>
              <w:rPr>
                <w:rFonts w:ascii="Times New Roman" w:hAnsi="Times New Roman" w:eastAsia="Times New Roman"/>
                <w:b/>
                <w:i w:val="0"/>
                <w:sz w:val="24"/>
              </w:rPr>
              <w:t>W6</w:t>
            </w:r>
          </w:p>
        </w:tc>
        <w:tc>
          <w:tcPr>
            <w:tcW w:type="dxa" w:w="542"/>
          </w:tcPr>
          <w:p>
            <w:pPr>
              <w:jc w:val="center"/>
            </w:pPr>
            <w:r>
              <w:rPr>
                <w:b/>
              </w:rPr>
            </w:r>
            <w:r>
              <w:rPr>
                <w:rFonts w:ascii="Times New Roman" w:hAnsi="Times New Roman" w:eastAsia="Times New Roman"/>
                <w:b/>
                <w:i w:val="0"/>
                <w:sz w:val="24"/>
              </w:rPr>
              <w:t>W7</w:t>
            </w:r>
          </w:p>
        </w:tc>
        <w:tc>
          <w:tcPr>
            <w:tcW w:type="dxa" w:w="542"/>
          </w:tcPr>
          <w:p>
            <w:pPr>
              <w:jc w:val="center"/>
            </w:pPr>
            <w:r>
              <w:rPr>
                <w:b/>
              </w:rPr>
            </w:r>
            <w:r>
              <w:rPr>
                <w:rFonts w:ascii="Times New Roman" w:hAnsi="Times New Roman" w:eastAsia="Times New Roman"/>
                <w:b/>
                <w:i w:val="0"/>
                <w:sz w:val="24"/>
              </w:rPr>
              <w:t>W8</w:t>
            </w:r>
          </w:p>
        </w:tc>
        <w:tc>
          <w:tcPr>
            <w:tcW w:type="dxa" w:w="542"/>
          </w:tcPr>
          <w:p>
            <w:pPr>
              <w:jc w:val="center"/>
            </w:pPr>
            <w:r>
              <w:rPr>
                <w:b/>
              </w:rPr>
            </w:r>
            <w:r>
              <w:rPr>
                <w:rFonts w:ascii="Times New Roman" w:hAnsi="Times New Roman" w:eastAsia="Times New Roman"/>
                <w:b/>
                <w:i w:val="0"/>
                <w:sz w:val="24"/>
              </w:rPr>
              <w:t>W9</w:t>
            </w:r>
          </w:p>
        </w:tc>
        <w:tc>
          <w:tcPr>
            <w:tcW w:type="dxa" w:w="542"/>
          </w:tcPr>
          <w:p>
            <w:pPr>
              <w:jc w:val="center"/>
            </w:pPr>
            <w:r>
              <w:rPr>
                <w:b/>
              </w:rPr>
            </w:r>
            <w:r>
              <w:rPr>
                <w:rFonts w:ascii="Times New Roman" w:hAnsi="Times New Roman" w:eastAsia="Times New Roman"/>
                <w:b/>
                <w:i w:val="0"/>
                <w:sz w:val="24"/>
              </w:rPr>
              <w:t>W10</w:t>
            </w:r>
          </w:p>
        </w:tc>
        <w:tc>
          <w:tcPr>
            <w:tcW w:type="dxa" w:w="542"/>
          </w:tcPr>
          <w:p>
            <w:pPr>
              <w:jc w:val="center"/>
            </w:pPr>
            <w:r>
              <w:rPr>
                <w:b/>
              </w:rPr>
            </w:r>
            <w:r>
              <w:rPr>
                <w:rFonts w:ascii="Times New Roman" w:hAnsi="Times New Roman" w:eastAsia="Times New Roman"/>
                <w:b/>
                <w:i w:val="0"/>
                <w:sz w:val="24"/>
              </w:rPr>
              <w:t>W11</w:t>
            </w:r>
          </w:p>
        </w:tc>
        <w:tc>
          <w:tcPr>
            <w:tcW w:type="dxa" w:w="542"/>
          </w:tcPr>
          <w:p>
            <w:pPr>
              <w:jc w:val="center"/>
            </w:pPr>
            <w:r>
              <w:rPr>
                <w:b/>
              </w:rPr>
            </w:r>
            <w:r>
              <w:rPr>
                <w:rFonts w:ascii="Times New Roman" w:hAnsi="Times New Roman" w:eastAsia="Times New Roman"/>
                <w:b/>
                <w:i w:val="0"/>
                <w:sz w:val="24"/>
              </w:rPr>
              <w:t>W12</w:t>
            </w:r>
          </w:p>
        </w:tc>
        <w:tc>
          <w:tcPr>
            <w:tcW w:type="dxa" w:w="542"/>
          </w:tcPr>
          <w:p>
            <w:pPr>
              <w:jc w:val="center"/>
            </w:pPr>
            <w:r>
              <w:rPr>
                <w:b/>
              </w:rPr>
            </w:r>
            <w:r>
              <w:rPr>
                <w:rFonts w:ascii="Times New Roman" w:hAnsi="Times New Roman" w:eastAsia="Times New Roman"/>
                <w:b/>
                <w:i w:val="0"/>
                <w:sz w:val="24"/>
              </w:rPr>
              <w:t>W13</w:t>
            </w:r>
          </w:p>
        </w:tc>
        <w:tc>
          <w:tcPr>
            <w:tcW w:type="dxa" w:w="542"/>
          </w:tcPr>
          <w:p>
            <w:pPr>
              <w:jc w:val="center"/>
            </w:pPr>
            <w:r>
              <w:rPr>
                <w:b/>
              </w:rPr>
            </w:r>
            <w:r>
              <w:rPr>
                <w:rFonts w:ascii="Times New Roman" w:hAnsi="Times New Roman" w:eastAsia="Times New Roman"/>
                <w:b/>
                <w:i w:val="0"/>
                <w:sz w:val="24"/>
              </w:rPr>
              <w:t>W14</w:t>
            </w:r>
          </w:p>
        </w:tc>
        <w:tc>
          <w:tcPr>
            <w:tcW w:type="dxa" w:w="542"/>
          </w:tcPr>
          <w:p>
            <w:pPr>
              <w:jc w:val="center"/>
            </w:pPr>
            <w:r>
              <w:rPr>
                <w:b/>
              </w:rPr>
            </w:r>
            <w:r>
              <w:rPr>
                <w:rFonts w:ascii="Times New Roman" w:hAnsi="Times New Roman" w:eastAsia="Times New Roman"/>
                <w:b/>
                <w:i w:val="0"/>
                <w:sz w:val="24"/>
              </w:rPr>
              <w:t>W15</w:t>
            </w:r>
          </w:p>
        </w:tc>
      </w:tr>
      <w:tr>
        <w:tc>
          <w:tcPr>
            <w:tcW w:type="dxa" w:w="542"/>
          </w:tcPr>
          <w:p>
            <w:pPr>
              <w:jc w:val="left"/>
            </w:pPr>
            <w:r/>
            <w:r>
              <w:rPr>
                <w:rFonts w:ascii="Times New Roman" w:hAnsi="Times New Roman" w:eastAsia="Times New Roman"/>
                <w:b w:val="0"/>
                <w:i w:val="0"/>
                <w:sz w:val="24"/>
              </w:rPr>
              <w:t>Literature Review</w:t>
            </w:r>
          </w:p>
        </w:tc>
        <w:tc>
          <w:tcPr>
            <w:tcW w:type="dxa" w:w="542"/>
            <w:shd w:val="clear" w:color="auto" w:fill="D9E1F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Proposal Preparation</w:t>
            </w:r>
          </w:p>
        </w:tc>
        <w:tc>
          <w:tcPr>
            <w:tcW w:type="dxa" w:w="542"/>
          </w:tcPr>
          <w:p>
            <w:pPr>
              <w:jc w:val="center"/>
            </w:pPr>
            <w:r/>
          </w:p>
        </w:tc>
        <w:tc>
          <w:tcPr>
            <w:tcW w:type="dxa" w:w="542"/>
            <w:shd w:val="clear" w:color="auto" w:fill="D9E1F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Proposal Defense</w:t>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Calendar Module</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Tithi + Rules Engine</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API Development</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Frontend Core</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Map Integration</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Content Entry</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Integration Testing</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Midterm Defense</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Bug Fixes</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Additional Content</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Documentation</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c>
          <w:tcPr>
            <w:tcW w:type="dxa" w:w="542"/>
          </w:tcPr>
          <w:p>
            <w:pPr>
              <w:jc w:val="center"/>
            </w:pPr>
            <w:r/>
          </w:p>
        </w:tc>
      </w:tr>
      <w:tr>
        <w:tc>
          <w:tcPr>
            <w:tcW w:type="dxa" w:w="542"/>
          </w:tcPr>
          <w:p>
            <w:pPr>
              <w:jc w:val="left"/>
            </w:pPr>
            <w:r/>
            <w:r>
              <w:rPr>
                <w:rFonts w:ascii="Times New Roman" w:hAnsi="Times New Roman" w:eastAsia="Times New Roman"/>
                <w:b w:val="0"/>
                <w:i w:val="0"/>
                <w:sz w:val="24"/>
              </w:rPr>
              <w:t>Final Defense</w:t>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tcPr>
          <w:p>
            <w:pPr>
              <w:jc w:val="center"/>
            </w:pPr>
            <w:r/>
          </w:p>
        </w:tc>
        <w:tc>
          <w:tcPr>
            <w:tcW w:type="dxa" w:w="542"/>
            <w:shd w:val="clear" w:color="auto" w:fill="D9E1F2"/>
          </w:tcPr>
          <w:p>
            <w:pPr>
              <w:jc w:val="center"/>
            </w:pPr>
            <w:r/>
          </w:p>
        </w:tc>
      </w:tr>
    </w:tbl>
    <w:p>
      <w:pPr/>
      <w:r>
        <w:t>TRIBHUVAN UNIVERSITY</w:t>
      </w:r>
    </w:p>
    <w:p>
      <w:pPr/>
      <w:r>
        <w:t>Institute of Science and Technology</w:t>
      </w:r>
    </w:p>
    <w:p>
      <w:pPr/>
    </w:p>
    <w:p>
      <w:pPr/>
      <w:r>
        <w:t>A Project Proposal</w:t>
      </w:r>
    </w:p>
    <w:p>
      <w:pPr/>
      <w:r>
        <w:t>On</w:t>
      </w:r>
    </w:p>
    <w:p>
      <w:pPr/>
      <w:r>
        <w:t>“PROJECT PARVA: A RITUAL TIME ENGINE FOR NEPALI FESTIVAL DATE CALCULATION”</w:t>
      </w:r>
    </w:p>
    <w:p>
      <w:pPr/>
    </w:p>
    <w:p>
      <w:pPr/>
      <w:r>
        <w:t>Submitted to</w:t>
      </w:r>
    </w:p>
    <w:p>
      <w:pPr/>
      <w:r>
        <w:t>Department of Statistics and Computer Science</w:t>
      </w:r>
    </w:p>
    <w:p>
      <w:pPr/>
      <w:r>
        <w:t>Patan Multiple Campus</w:t>
      </w:r>
    </w:p>
    <w:p>
      <w:pPr/>
    </w:p>
    <w:p>
      <w:pPr/>
      <w:r>
        <w:t>In partial fulfillment of the requirements for the degree of</w:t>
      </w:r>
    </w:p>
    <w:p>
      <w:pPr/>
      <w:r>
        <w:t>Bachelor of Science in Computer Science and Information Technology (BSc CSIT)</w:t>
      </w:r>
    </w:p>
    <w:p>
      <w:pPr/>
    </w:p>
    <w:p>
      <w:pPr/>
      <w:r>
        <w:t>Submitted by</w:t>
      </w:r>
    </w:p>
    <w:p>
      <w:pPr/>
      <w:r>
        <w:t>Prabin Ghimire — Roll No.: __________</w:t>
      </w:r>
    </w:p>
    <w:p>
      <w:pPr/>
      <w:r>
        <w:t>Semester: VII</w:t>
      </w:r>
    </w:p>
    <w:p>
      <w:pPr/>
      <w:r>
        <w:t>Date: February 2026</w:t>
      </w:r>
    </w:p>
    <w:p>
      <w:pPr/>
    </w:p>
    <w:p>
      <w:pPr/>
    </w:p>
    <w:p>
      <w:pPr>
        <w:pStyle w:val="FrontMatterHeading"/>
      </w:pPr>
      <w:r>
        <w:t>Table of Contents</w:t>
      </w:r>
    </w:p>
    <w:p>
      <w:pPr/>
    </w:p>
    <w:p>
      <w:pPr/>
    </w:p>
    <w:p>
      <w:pPr>
        <w:pStyle w:val="FrontMatterHeading"/>
      </w:pPr>
      <w:r>
        <w:t>List of Figures</w:t>
      </w:r>
    </w:p>
    <w:p>
      <w:pPr/>
      <w:r>
        <w:t>Figure 1: System Flowchart for Festival Date Calculation</w:t>
      </w:r>
    </w:p>
    <w:p>
      <w:pPr/>
      <w:r>
        <w:t>Figure 2: Use Case Diagram for Project Parva</w:t>
      </w:r>
    </w:p>
    <w:p>
      <w:pPr/>
      <w:r>
        <w:t>Figure 3: Gantt Chart for Project Parva (Semester VII)</w:t>
      </w:r>
    </w:p>
    <w:p>
      <w:pPr/>
    </w:p>
    <w:p>
      <w:pPr/>
    </w:p>
    <w:p>
      <w:pPr>
        <w:pStyle w:val="Heading1"/>
      </w:pPr>
      <w:r>
        <w:t>1. Introduction</w:t>
      </w:r>
    </w:p>
    <w:p>
      <w:pPr/>
      <w:r>
        <w:t>Nepal uses multiple calendar systems for different purposes. The official Bikram Sambat (BS) calendar is used in government and daily life, Nepal Sambat (NS) is used by Newar communities for traditional observances, many Buddhist festivals follow the Tibetan lunar calendar, and the Gregorian calendar is used for international business.</w:t>
      </w:r>
    </w:p>
    <w:p>
      <w:pPr/>
      <w:r>
        <w:t>Most Nepali religious festivals are defined by lunar rules (tithi, paksha, lunar month) rather than fixed Gregorian dates. This makes festival dates shift by weeks each year and creates confusion for diaspora communities and for software systems that require reliable, programmatic dates.</w:t>
      </w:r>
    </w:p>
    <w:p>
      <w:pPr/>
      <w:r>
        <w:t>This project develops Project Parva, an ephemeris-based ritual time engine and API. It computes tithi at sunrise (udaya), sankranti, and a lunar-month model (Amavasya→Amavasya) with Adhik Maas handling. It provides dual-mode BS conversion with confidence labels (official lookup vs estimated ephemeris-based), official overrides from MoHA documents via OCR, and a web interface with cultural content and temple mappings.</w:t>
      </w:r>
    </w:p>
    <w:p>
      <w:pPr/>
    </w:p>
    <w:p>
      <w:pPr>
        <w:pStyle w:val="Heading2"/>
      </w:pPr>
      <w:r>
        <w:t>1.1 Scope and Limitations</w:t>
      </w:r>
    </w:p>
    <w:p>
      <w:pPr/>
      <w:r>
        <w:t>This project covers:</w:t>
      </w:r>
    </w:p>
    <w:p>
      <w:pPr/>
      <w:r>
        <w:t>- Dual-mode BS conversion: official lookup table for 2070–2095 BS and estimated conversion for ±200 BS years beyond the official range, with confidence labeling (official/estimated).</w:t>
      </w:r>
    </w:p>
    <w:p>
      <w:pPr/>
      <w:r>
        <w:t>- Ephemeris-based panchanga components (tithi, paksha, nakshatra, yoga, karana) using udaya tithi for official day assignment.</w:t>
      </w:r>
    </w:p>
    <w:p>
      <w:pPr/>
      <w:r>
        <w:t>- Festival calculation for at least 50 festivals using lunar-month rules with Adhik Maas handling.</w:t>
      </w:r>
    </w:p>
    <w:p>
      <w:pPr/>
      <w:r>
        <w:t>- Official date overrides sourced from MoHA public holiday documents via OCR and validation, with provenance tracking.</w:t>
      </w:r>
    </w:p>
    <w:p>
      <w:pPr/>
      <w:r>
        <w:t>- Web-based interface for festival browsing, cultural content, and a REST API for programmatic access.</w:t>
      </w:r>
    </w:p>
    <w:p>
      <w:pPr/>
      <w:r>
        <w:t>- Temple mapping for major festivals.</w:t>
      </w:r>
    </w:p>
    <w:p>
      <w:pPr/>
    </w:p>
    <w:p>
      <w:pPr/>
      <w:r>
        <w:t>Limitations:</w:t>
      </w:r>
    </w:p>
    <w:p>
      <w:pPr/>
      <w:r>
        <w:t>- Estimated BS conversion outside 2070–2095 BS is approximate and may differ from future or past committee calendars; responses are labeled as estimated.</w:t>
      </w:r>
    </w:p>
    <w:p>
      <w:pPr/>
      <w:r>
        <w:t>- Nepal Sambat conversion currently provides year-level accuracy only.</w:t>
      </w:r>
    </w:p>
    <w:p>
      <w:pPr/>
      <w:r>
        <w:t>- Regional variations and locally announced festival dates are not fully modeled.</w:t>
      </w:r>
    </w:p>
    <w:p>
      <w:pPr/>
      <w:r>
        <w:t>- OCR-derived dates can contain transcription errors; these are mitigated through correction passes and manual review.</w:t>
      </w:r>
    </w:p>
    <w:p>
      <w:pPr/>
    </w:p>
    <w:p>
      <w:pPr>
        <w:pStyle w:val="Heading1"/>
      </w:pPr>
      <w:r>
        <w:t>2. Problem Statement</w:t>
      </w:r>
    </w:p>
    <w:p>
      <w:pPr/>
      <w:r>
        <w:t>Festival date information is inconsistent across printed panchang and mobile apps because boundary rules and reference times differ. This creates conflicting dates for the same festival.</w:t>
      </w:r>
    </w:p>
    <w:p>
      <w:pPr/>
      <w:r>
        <w:t>There is no reliable public API for Nepali festival dates or panchanga elements, forcing developers to manually maintain lists or scrape data from closed systems.</w:t>
      </w:r>
    </w:p>
    <w:p>
      <w:pPr/>
      <w:r>
        <w:t>Existing tools focus on dates only and do not provide cultural context or verifiable provenance, which limits trust for users, institutions, and developers.</w:t>
      </w:r>
    </w:p>
    <w:p>
      <w:pPr/>
    </w:p>
    <w:p>
      <w:pPr>
        <w:pStyle w:val="Heading1"/>
      </w:pPr>
      <w:r>
        <w:t>3. Objectives</w:t>
      </w:r>
    </w:p>
    <w:p>
      <w:pPr/>
      <w:r>
        <w:t>1. Build an ephemeris-based calendar engine with udaya tithi, sankranti detection, lunar-month modeling (including Adhik Maas), and dual-mode BS conversion with confidence labels.</w:t>
      </w:r>
    </w:p>
    <w:p>
      <w:pPr/>
      <w:r>
        <w:t>2. Deliver a web application and REST API that provide festival dates, panchanga components, cultural narratives, temple mappings, and provenance verification for at least 50 festivals.</w:t>
      </w:r>
    </w:p>
    <w:p>
      <w:pPr/>
      <w:r>
        <w:t>3. Validate accuracy against official sources (MoHA public holiday lists and Rashtriya Panchang) using OCR ingestion, correction pipelines, and automated evaluation reports.</w:t>
      </w:r>
    </w:p>
    <w:p>
      <w:pPr/>
    </w:p>
    <w:p>
      <w:pPr>
        <w:pStyle w:val="Heading1"/>
      </w:pPr>
      <w:r>
        <w:t>4. Methodology</w:t>
      </w:r>
    </w:p>
    <w:p>
      <w:pPr>
        <w:pStyle w:val="Heading2"/>
      </w:pPr>
      <w:r>
        <w:t>4.1 Study of Existing System / Literature Review</w:t>
      </w:r>
    </w:p>
    <w:p>
      <w:pPr>
        <w:pStyle w:val="Heading3"/>
      </w:pPr>
      <w:r>
        <w:t>4.1.1 Study of Existing System</w:t>
      </w:r>
    </w:p>
    <w:p>
      <w:pPr/>
      <w:r>
        <w:t>Nepal Patro and Hamro Patro provide widely used festival date information but do not expose calculation logic or public APIs. Printed panchang and government holiday lists are authoritative but not machine-readable. These constraints motivate a transparent, verifiable calculation engine and API.</w:t>
      </w:r>
    </w:p>
    <w:p>
      <w:pPr/>
    </w:p>
    <w:p>
      <w:pPr>
        <w:pStyle w:val="Heading3"/>
      </w:pPr>
      <w:r>
        <w:t>4.1.2 Literature Review</w:t>
      </w:r>
    </w:p>
    <w:p>
      <w:pPr/>
      <w:r>
        <w:t>The BS calendar is lunisolar and its month lengths are defined by official Rashtriya Panchang tables rather than a fixed mathematical formula [1]. Tithi boundaries are defined by the angular separation between the Moon and the Sun, and modern computational approaches use ephemeris data to compute precise solar and lunar longitudes [2][3]. This project uses Swiss Ephemeris with Lahiri ayanamsa for tithi, sankranti, and sunrise calculations, and references official sources for calendar validation [1][6].</w:t>
      </w:r>
    </w:p>
    <w:p>
      <w:pPr/>
    </w:p>
    <w:p>
      <w:pPr>
        <w:pStyle w:val="Heading2"/>
      </w:pPr>
      <w:r>
        <w:t>4.2 Requirement Analysis</w:t>
      </w:r>
    </w:p>
    <w:p>
      <w:pPr>
        <w:pStyle w:val="Heading3"/>
      </w:pPr>
      <w:r>
        <w:t>4.2.1 Functional Requirements</w:t>
      </w:r>
    </w:p>
    <w:p>
      <w:pPr/>
      <w:r>
        <w:t>FR1: Convert dates between BS and Gregorian using official lookup tables for 2070–2095 BS and estimated conversion for ±200 BS years beyond the official range.</w:t>
      </w:r>
    </w:p>
    <w:p>
      <w:pPr/>
      <w:r>
        <w:t>FR2: Compute ephemeris-based tithi, paksha, nakshatra, yoga, and karana, using udaya tithi for official day assignment.</w:t>
      </w:r>
    </w:p>
    <w:p>
      <w:pPr/>
      <w:r>
        <w:t>FR3: Calculate festival dates for at least 50 festivals using lunar-month rules with Adhik Maas handling.</w:t>
      </w:r>
    </w:p>
    <w:p>
      <w:pPr/>
      <w:r>
        <w:t>FR4: Provide REST API endpoints returning JSON with confidence fields for official vs estimated conversions and panchanga method metadata.</w:t>
      </w:r>
    </w:p>
    <w:p>
      <w:pPr/>
      <w:r>
        <w:t>FR5: Provide festival information including name (English/Nepali), dates, and descriptions.</w:t>
      </w:r>
    </w:p>
    <w:p>
      <w:pPr/>
      <w:r>
        <w:t>FR6: Provide detailed mythology descriptions for 15 major festivals and day-by-day ritual summaries for multi-day festivals.</w:t>
      </w:r>
    </w:p>
    <w:p>
      <w:pPr/>
      <w:r>
        <w:t>FR7: Allow searching festivals by name and category.</w:t>
      </w:r>
    </w:p>
    <w:p>
      <w:pPr/>
      <w:r>
        <w:t>FR8: Display associated temples on an interactive map.</w:t>
      </w:r>
    </w:p>
    <w:p>
      <w:pPr/>
      <w:r>
        <w:t>FR9: Support provenance verification of date data via Merkle proofs.</w:t>
      </w:r>
    </w:p>
    <w:p>
      <w:pPr/>
      <w:r>
        <w:t>FR10: Support responsive display on mobile and desktop browsers.</w:t>
      </w:r>
    </w:p>
    <w:p>
      <w:pPr/>
    </w:p>
    <w:p>
      <w:pPr>
        <w:pStyle w:val="Heading3"/>
      </w:pPr>
      <w:r>
        <w:t>4.2.2 Non-Functional Requirements</w:t>
      </w:r>
    </w:p>
    <w:p>
      <w:pPr/>
      <w:r>
        <w:t>Performance: API requests should respond within 500 ms at P95 under single-user local testing (measured using the built-in load test script on a standard developer machine).</w:t>
      </w:r>
    </w:p>
    <w:p>
      <w:pPr/>
      <w:r>
        <w:t>Accuracy: Festival dates should match official sources when available; discrepancies must be reported with source and confidence level.</w:t>
      </w:r>
    </w:p>
    <w:p>
      <w:pPr/>
      <w:r>
        <w:t>Usability: Users should be able to find information about any festival within three navigation steps from the home page.</w:t>
      </w:r>
    </w:p>
    <w:p>
      <w:pPr/>
      <w:r>
        <w:t>User-friendliness: Interfaces should be readable on mobile devices, avoid clutter, and present clear error states and date confidence labels.</w:t>
      </w:r>
    </w:p>
    <w:p>
      <w:pPr/>
      <w:r>
        <w:t>Availability: The demo system should target ≥95% availability during presentation windows, with graceful degradation if external services fail.</w:t>
      </w:r>
    </w:p>
    <w:p>
      <w:pPr/>
      <w:r>
        <w:t>Maintainability: Festival data and rules should be stored in JSON format, allowing updates without code changes.</w:t>
      </w:r>
    </w:p>
    <w:p>
      <w:pPr/>
    </w:p>
    <w:p>
      <w:pPr>
        <w:pStyle w:val="Heading2"/>
      </w:pPr>
      <w:r>
        <w:t>4.3 Feasibility Study</w:t>
      </w:r>
    </w:p>
    <w:p>
      <w:pPr>
        <w:pStyle w:val="Heading3"/>
      </w:pPr>
      <w:r>
        <w:t>4.3.1 Technical Feasibility</w:t>
      </w:r>
    </w:p>
    <w:p>
      <w:pPr/>
      <w:r>
        <w:t>The backend uses Python with FastAPI and Swiss Ephemeris (pyswisseph) for astronomical calculations. The OCR pipeline ingests MoHA PDFs and applies a second-pass correction for common Nepali OCR errors. The system uses JSON rules and automated tests for validation. Device feasibility is satisfied because the web app runs in modern browsers on typical user devices (Android/iOS and desktop) without local installation.</w:t>
      </w:r>
    </w:p>
    <w:p>
      <w:pPr/>
    </w:p>
    <w:p>
      <w:pPr>
        <w:pStyle w:val="Heading3"/>
      </w:pPr>
      <w:r>
        <w:t>4.3.2 Operational Feasibility</w:t>
      </w:r>
    </w:p>
    <w:p>
      <w:pPr/>
      <w:r>
        <w:t>The system is web-based and accessible through any modern browser. It supports diaspora users and institutions by providing consistent, auditable festival dates and cultural context.</w:t>
      </w:r>
    </w:p>
    <w:p>
      <w:pPr/>
    </w:p>
    <w:p>
      <w:pPr>
        <w:pStyle w:val="Heading3"/>
      </w:pPr>
      <w:r>
        <w:t>4.3.3 Economic Feasibility</w:t>
      </w:r>
    </w:p>
    <w:p>
      <w:pPr/>
      <w:r>
        <w:t>All core tools are open-source. Hosting can use free tiers of platforms such as Vercel or Railway for a demonstration deployment. The only optional cost is a domain name.</w:t>
      </w:r>
    </w:p>
    <w:p>
      <w:pPr/>
    </w:p>
    <w:p>
      <w:pPr>
        <w:pStyle w:val="Heading2"/>
      </w:pPr>
      <w:r>
        <w:t>4.4 Methodology of the Proposed System</w:t>
      </w:r>
    </w:p>
    <w:p>
      <w:pPr/>
      <w:r>
        <w:t>The system follows a layered architecture: web client → REST API → calculation engine → data/provenance layer. Figure 1 summarizes the computation flow.</w:t>
      </w:r>
    </w:p>
    <w:p>
      <w:pPr/>
    </w:p>
    <w:p>
      <w:pPr>
        <w:pStyle w:val="Heading3"/>
      </w:pPr>
      <w:r>
        <w:t>4.4.1 Bikram Sambat Conversion</w:t>
      </w:r>
    </w:p>
    <w:p>
      <w:pPr/>
      <w:r>
        <w:t>Official conversion uses a lookup table for 2070–2095 BS. For years outside the table, the system estimates BS month boundaries using sankranti (Sun entering a new rashi) and assigns days by sunrise. Responses include a confidence label: official or estimated.</w:t>
      </w:r>
    </w:p>
    <w:p>
      <w:pPr/>
    </w:p>
    <w:p>
      <w:pPr>
        <w:pStyle w:val="Heading3"/>
      </w:pPr>
      <w:r>
        <w:t>4.4.2 Tithi Calculation</w:t>
      </w:r>
    </w:p>
    <w:p>
      <w:pPr/>
      <w:r>
        <w:t>Tithi is computed from ephemeris-based solar and lunar longitudes: tithi = floor((λ_moon − λ_sun) / 12°) + 1. Udaya tithi is determined by evaluating tithi at sunrise in Kathmandu (NPT) for official day assignment.</w:t>
      </w:r>
    </w:p>
    <w:p>
      <w:pPr/>
    </w:p>
    <w:p>
      <w:pPr>
        <w:pStyle w:val="Heading3"/>
      </w:pPr>
      <w:r>
        <w:t>4.4.3 Festival Rules and Adhik Maas</w:t>
      </w:r>
    </w:p>
    <w:p>
      <w:pPr/>
      <w:r>
        <w:t>Festival rules are stored in JSON using lunar_month, paksha, tithi, and adhik_policy. The lunar-month model is Amavasya→Amavasya. Adhik Maas is detected when a lunar month does not contain a solar ingress (sankranti), and rules are applied accordingly.</w:t>
      </w:r>
    </w:p>
    <w:p>
      <w:pPr/>
    </w:p>
    <w:p>
      <w:pPr>
        <w:pStyle w:val="Heading3"/>
      </w:pPr>
      <w:r>
        <w:t>4.4.4 OCR Overrides and Provenance</w:t>
      </w:r>
    </w:p>
    <w:p>
      <w:pPr/>
      <w:r>
        <w:t>MoHA public holiday documents are ingested via OCR, followed by a second-pass correction for common Nepali OCR substitutions. Overrides are stored with source metadata. A Merkle tree snapshot provides provenance proofs for auditability.</w:t>
      </w:r>
    </w:p>
    <w:p>
      <w:pPr/>
    </w:p>
    <w:p>
      <w:pPr>
        <w:pStyle w:val="Heading2"/>
      </w:pPr>
      <w:r>
        <w:t>4.5 Schedule (Gantt Chart)</w:t>
      </w:r>
    </w:p>
    <w:p>
      <w:pPr/>
      <w:r>
        <w:t>The project timeline follows the Semester VII schedule with proposal, development, midterm, and final evaluation phases (see Figure 3).</w:t>
      </w:r>
    </w:p>
    <w:p>
      <w:pPr/>
    </w:p>
    <w:p>
      <w:pPr>
        <w:pStyle w:val="Heading1"/>
      </w:pPr>
      <w:r>
        <w:t>5. High Level Design of System</w:t>
      </w:r>
    </w:p>
    <w:p>
      <w:pPr/>
      <w:r>
        <w:t>Client Layer: React-based web interface with responsive design and a festival/temple map.</w:t>
      </w:r>
    </w:p>
    <w:p>
      <w:pPr/>
      <w:r>
        <w:t>API Layer: FastAPI endpoints for conversion, panchanga, festival calculation, and provenance.</w:t>
      </w:r>
    </w:p>
    <w:p>
      <w:pPr/>
      <w:r>
        <w:t>Engine Layer: Ephemeris-based calculations for tithi, sankranti, lunar-month modeling, and festival rules.</w:t>
      </w:r>
    </w:p>
    <w:p>
      <w:pPr/>
      <w:r>
        <w:t>Data/Provenance Layer: JSON datasets, OCR-derived overrides, and Merkle snapshots for auditability.</w:t>
      </w:r>
    </w:p>
    <w:p>
      <w:pPr/>
    </w:p>
    <w:p>
      <w:pPr>
        <w:pStyle w:val="Heading1"/>
      </w:pPr>
      <w:r>
        <w:t>6. Expected Outcome</w:t>
      </w:r>
    </w:p>
    <w:p>
      <w:pPr/>
      <w:r>
        <w:t>At the end of this project, the following will be delivered:</w:t>
      </w:r>
    </w:p>
    <w:p>
      <w:pPr/>
      <w:r>
        <w:t>1. A web application where users can view a list of Nepali festivals, see calculated dates with confidence labels, and read cultural descriptions.</w:t>
      </w:r>
    </w:p>
    <w:p>
      <w:pPr/>
      <w:r>
        <w:t>2. A REST API with documented endpoints that returns festival data and panchanga components in JSON format.</w:t>
      </w:r>
    </w:p>
    <w:p>
      <w:pPr/>
      <w:r>
        <w:t>3. Calendar conversion utilities supporting official 2070–2095 BS conversion and estimated conversion for ±200 BS years beyond the official range.</w:t>
      </w:r>
    </w:p>
    <w:p>
      <w:pPr/>
      <w:r>
        <w:t>4. Documentation of 50 festivals with full mythology and rituals for 15 major festivals, and summary content for the remainder.</w:t>
      </w:r>
    </w:p>
    <w:p>
      <w:pPr/>
      <w:r>
        <w:t>5. An evaluation report comparing calculated dates against official sources, with discrepancy analysis and provenance support.</w:t>
      </w:r>
    </w:p>
    <w:p>
      <w:pPr/>
    </w:p>
    <w:p>
      <w:pPr>
        <w:pStyle w:val="Heading1"/>
      </w:pPr>
      <w:r>
        <w:t>7. References</w:t>
      </w:r>
    </w:p>
    <w:p>
      <w:pPr/>
      <w:r>
        <w:t>[1] Calendar Determination Committee, "Rashtriya Panchang 2080 BS," Nepal Academy, 2023.</w:t>
      </w:r>
    </w:p>
    <w:p>
      <w:pPr/>
      <w:r>
        <w:t>[2] Swiss Ephemeris (Astrodienst), "Swiss Ephemeris," https://www.astro.com/swisseph/, accessed Feb. 2026.</w:t>
      </w:r>
    </w:p>
    <w:p>
      <w:pPr/>
      <w:r>
        <w:t>[3] J. Meeus, Astronomical Algorithms, 2nd ed., Willmann-Bell, 1998.</w:t>
      </w:r>
    </w:p>
    <w:p>
      <w:pPr/>
      <w:r>
        <w:t>[4] Jehan Canlas, "Nepal Patro: Nepali Calendar," Version 7.0.1, Mobile application, 2024.</w:t>
      </w:r>
    </w:p>
    <w:p>
      <w:pPr/>
      <w:r>
        <w:t>[5] Jeewan Parajuli, "Hamro Patro," Version 8.4.8, Mobile application, 2024.</w:t>
      </w:r>
    </w:p>
    <w:p>
      <w:pPr/>
      <w:r>
        <w:t>[6] Ministry of Home Affairs, Government of Nepal, Public Holiday Notices (MoHA PDFs), 2024–2026.</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Heading"/>
    <w:pPr>
      <w:spacing w:before="240" w:after="120"/>
    </w:pPr>
    <w:rPr>
      <w:rFonts w:ascii="Times New Roman" w:hAnsi="Times New Roman" w:eastAsia="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