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C5CA" w14:textId="77777777" w:rsidR="00867184" w:rsidRDefault="00000000">
      <w:pPr>
        <w:spacing w:before="157" w:after="157" w:line="270" w:lineRule="auto"/>
      </w:pPr>
      <w:bookmarkStart w:id="0" w:name="procédure_de_configuration_d_une_359e91"/>
      <w:r>
        <w:rPr>
          <w:rFonts w:eastAsia="Georgia" w:hAnsi="Georgia" w:cs="Georgia"/>
          <w:b/>
          <w:color w:val="000000"/>
          <w:sz w:val="39"/>
        </w:rPr>
        <w:t>Procédure de configuration d'une GPO dans Active Directory</w:t>
      </w:r>
      <w:bookmarkEnd w:id="0"/>
    </w:p>
    <w:p w14:paraId="0456AD61" w14:textId="77777777" w:rsidR="00867184" w:rsidRDefault="00000000">
      <w:pPr>
        <w:spacing w:before="315" w:after="105" w:line="360" w:lineRule="auto"/>
        <w:ind w:left="-30"/>
      </w:pPr>
      <w:bookmarkStart w:id="1" w:name="objectif"/>
      <w:r>
        <w:rPr>
          <w:rFonts w:eastAsia="Georgia" w:hAnsi="Georgia" w:cs="Georgia"/>
          <w:b/>
          <w:color w:val="000000"/>
          <w:sz w:val="24"/>
        </w:rPr>
        <w:t>Objectif</w:t>
      </w:r>
      <w:bookmarkEnd w:id="1"/>
    </w:p>
    <w:p w14:paraId="0C46114C" w14:textId="34A19481" w:rsidR="00867184" w:rsidRDefault="00000000">
      <w:pPr>
        <w:spacing w:after="210" w:line="360" w:lineRule="auto"/>
      </w:pPr>
      <w:r>
        <w:rPr>
          <w:rFonts w:eastAsia="Georgia" w:hAnsi="Georgia" w:cs="Georgia"/>
          <w:color w:val="000000"/>
        </w:rPr>
        <w:t>Cette procédure explique comment créer, configurer, lier et tester une stratégie de groupe (GPO) dans un environnement Active Directory afin d'appliquer des paramètres aux utilisateurs ou aux ordinateurs du domaine.</w:t>
      </w:r>
    </w:p>
    <w:p w14:paraId="771246C8" w14:textId="77777777" w:rsidR="00867184" w:rsidRDefault="00000000">
      <w:pPr>
        <w:spacing w:before="315" w:after="105" w:line="360" w:lineRule="auto"/>
        <w:ind w:left="-30"/>
      </w:pPr>
      <w:bookmarkStart w:id="2" w:name="pré_requis"/>
      <w:proofErr w:type="spellStart"/>
      <w:r>
        <w:rPr>
          <w:rFonts w:eastAsia="Georgia" w:hAnsi="Georgia" w:cs="Georgia"/>
          <w:b/>
          <w:color w:val="000000"/>
          <w:sz w:val="24"/>
        </w:rPr>
        <w:t>Pré-requis</w:t>
      </w:r>
      <w:bookmarkEnd w:id="2"/>
      <w:proofErr w:type="spellEnd"/>
    </w:p>
    <w:p w14:paraId="13324D03" w14:textId="35CAD961" w:rsidR="00867184" w:rsidRDefault="00000000">
      <w:pPr>
        <w:spacing w:after="210" w:line="360" w:lineRule="auto"/>
      </w:pPr>
      <w:r>
        <w:rPr>
          <w:rFonts w:eastAsia="Georgia" w:hAnsi="Georgia" w:cs="Georgia"/>
          <w:color w:val="000000"/>
        </w:rPr>
        <w:t xml:space="preserve">Avant de créer une GPO, il faut disposer d'un contrôleur de domaine Active Directory, des droits d'administration adaptés et de la console de gestion des stratégies de groupe (GPMC), accessible depuis le Gestionnaire de serveur ou via la commande </w:t>
      </w:r>
      <w:proofErr w:type="spellStart"/>
      <w:r>
        <w:rPr>
          <w:rStyle w:val="VerbatimChar"/>
          <w:rFonts w:ascii="menlo" w:eastAsia="menlo" w:hAnsi="menlo" w:cs="menlo"/>
          <w:color w:val="000000"/>
          <w:sz w:val="18"/>
          <w:shd w:val="clear" w:color="auto" w:fill="F8F8FA"/>
        </w:rPr>
        <w:t>gpmc.msc</w:t>
      </w:r>
      <w:proofErr w:type="spellEnd"/>
      <w:r>
        <w:rPr>
          <w:rFonts w:eastAsia="Georgia" w:hAnsi="Georgia" w:cs="Georgia"/>
          <w:color w:val="000000"/>
        </w:rPr>
        <w:t>.</w:t>
      </w:r>
    </w:p>
    <w:p w14:paraId="0BC1245D" w14:textId="420220C6" w:rsidR="00867184" w:rsidRDefault="00000000">
      <w:pPr>
        <w:spacing w:after="210" w:line="360" w:lineRule="auto"/>
      </w:pPr>
      <w:r>
        <w:rPr>
          <w:rFonts w:eastAsia="Georgia" w:hAnsi="Georgia" w:cs="Georgia"/>
          <w:color w:val="000000"/>
        </w:rPr>
        <w:t>Les objets qui recevront la stratégie doivent être placés dans une unité d'organisation (OU) cohérente, car une GPO s'applique généralement à une OU, à un domaine ou à un site.</w:t>
      </w:r>
    </w:p>
    <w:p w14:paraId="0B9CC713" w14:textId="77777777" w:rsidR="00867184" w:rsidRDefault="00000000">
      <w:pPr>
        <w:spacing w:before="315" w:after="105" w:line="360" w:lineRule="auto"/>
        <w:ind w:left="-30"/>
      </w:pPr>
      <w:bookmarkStart w:id="3" w:name="ouverture_de_la_console_gpmc"/>
      <w:r>
        <w:rPr>
          <w:rFonts w:eastAsia="Georgia" w:hAnsi="Georgia" w:cs="Georgia"/>
          <w:b/>
          <w:color w:val="000000"/>
          <w:sz w:val="24"/>
        </w:rPr>
        <w:t>Ouverture de la console GPMC</w:t>
      </w:r>
      <w:bookmarkEnd w:id="3"/>
    </w:p>
    <w:p w14:paraId="188DDBBA" w14:textId="66B03128" w:rsidR="00867184" w:rsidRDefault="00000000">
      <w:pPr>
        <w:spacing w:after="210" w:line="360" w:lineRule="auto"/>
      </w:pPr>
      <w:r>
        <w:rPr>
          <w:rFonts w:eastAsia="Georgia" w:hAnsi="Georgia" w:cs="Georgia"/>
          <w:color w:val="000000"/>
        </w:rPr>
        <w:t xml:space="preserve">Sur le serveur Windows, ouvrir </w:t>
      </w:r>
      <w:r>
        <w:rPr>
          <w:rFonts w:eastAsia="Georgia" w:hAnsi="Georgia" w:cs="Georgia"/>
          <w:b/>
          <w:color w:val="000000"/>
        </w:rPr>
        <w:t>Gestionnaire de serveur</w:t>
      </w:r>
      <w:r>
        <w:rPr>
          <w:rFonts w:eastAsia="Georgia" w:hAnsi="Georgia" w:cs="Georgia"/>
          <w:color w:val="000000"/>
        </w:rPr>
        <w:t xml:space="preserve">, puis aller dans </w:t>
      </w:r>
      <w:r>
        <w:rPr>
          <w:rFonts w:eastAsia="Georgia" w:hAnsi="Georgia" w:cs="Georgia"/>
          <w:b/>
          <w:color w:val="000000"/>
        </w:rPr>
        <w:t>Outils</w:t>
      </w:r>
      <w:r>
        <w:rPr>
          <w:rFonts w:eastAsia="Georgia" w:hAnsi="Georgia" w:cs="Georgia"/>
          <w:color w:val="000000"/>
        </w:rPr>
        <w:t xml:space="preserve"> et cliquer sur </w:t>
      </w:r>
      <w:r>
        <w:rPr>
          <w:rFonts w:eastAsia="Georgia" w:hAnsi="Georgia" w:cs="Georgia"/>
          <w:b/>
          <w:color w:val="000000"/>
        </w:rPr>
        <w:t>Gestion des stratégies de groupe</w:t>
      </w:r>
      <w:r>
        <w:rPr>
          <w:rFonts w:eastAsia="Georgia" w:hAnsi="Georgia" w:cs="Georgia"/>
          <w:color w:val="000000"/>
        </w:rPr>
        <w:t xml:space="preserve">. Il est également possible d'ouvrir directement la console en exécutant </w:t>
      </w:r>
      <w:proofErr w:type="spellStart"/>
      <w:r>
        <w:rPr>
          <w:rStyle w:val="VerbatimChar"/>
          <w:rFonts w:ascii="menlo" w:eastAsia="menlo" w:hAnsi="menlo" w:cs="menlo"/>
          <w:color w:val="000000"/>
          <w:sz w:val="18"/>
          <w:shd w:val="clear" w:color="auto" w:fill="F8F8FA"/>
        </w:rPr>
        <w:t>gpmc.msc</w:t>
      </w:r>
      <w:proofErr w:type="spellEnd"/>
      <w:r>
        <w:rPr>
          <w:rFonts w:eastAsia="Georgia" w:hAnsi="Georgia" w:cs="Georgia"/>
          <w:color w:val="000000"/>
        </w:rPr>
        <w:t>.</w:t>
      </w:r>
    </w:p>
    <w:p w14:paraId="15332E6A" w14:textId="105AB495" w:rsidR="00867184" w:rsidRDefault="00000000">
      <w:pPr>
        <w:spacing w:after="210" w:line="360" w:lineRule="auto"/>
      </w:pPr>
      <w:r>
        <w:rPr>
          <w:rFonts w:eastAsia="Georgia" w:hAnsi="Georgia" w:cs="Georgia"/>
          <w:color w:val="000000"/>
        </w:rPr>
        <w:t>Dans l'arborescence de gauche, développer la forêt, le domaine, puis repérer l'OU cible sur laquelle la GPO sera appliquée.</w:t>
      </w:r>
    </w:p>
    <w:p w14:paraId="678842B1" w14:textId="77777777" w:rsidR="00867184" w:rsidRDefault="00000000">
      <w:pPr>
        <w:spacing w:before="315" w:after="105" w:line="360" w:lineRule="auto"/>
        <w:ind w:left="-30"/>
      </w:pPr>
      <w:bookmarkStart w:id="4" w:name="création_d_une_nouvelle_gpo"/>
      <w:r>
        <w:rPr>
          <w:rFonts w:eastAsia="Georgia" w:hAnsi="Georgia" w:cs="Georgia"/>
          <w:b/>
          <w:color w:val="000000"/>
          <w:sz w:val="24"/>
        </w:rPr>
        <w:t>Création d'une nouvelle GPO</w:t>
      </w:r>
      <w:bookmarkEnd w:id="4"/>
    </w:p>
    <w:p w14:paraId="71736441" w14:textId="02CE84EF" w:rsidR="00867184" w:rsidRDefault="00000000">
      <w:pPr>
        <w:spacing w:after="210" w:line="360" w:lineRule="auto"/>
      </w:pPr>
      <w:r>
        <w:rPr>
          <w:rFonts w:eastAsia="Georgia" w:hAnsi="Georgia" w:cs="Georgia"/>
          <w:color w:val="000000"/>
        </w:rPr>
        <w:t xml:space="preserve">Pour créer une stratégie, faire un clic droit sur l'OU concernée puis sélectionner </w:t>
      </w:r>
      <w:r>
        <w:rPr>
          <w:rFonts w:eastAsia="Georgia" w:hAnsi="Georgia" w:cs="Georgia"/>
          <w:b/>
          <w:color w:val="000000"/>
        </w:rPr>
        <w:t>Créer un objet GPO dans ce domaine, et le lier ici</w:t>
      </w:r>
      <w:r>
        <w:rPr>
          <w:rFonts w:eastAsia="Georgia" w:hAnsi="Georgia" w:cs="Georgia"/>
          <w:color w:val="000000"/>
        </w:rPr>
        <w:t>. Cette méthode permet de créer la GPO et de l'attacher immédiatement à l'OU choisie.</w:t>
      </w:r>
    </w:p>
    <w:p w14:paraId="72D9F74A" w14:textId="77777777" w:rsidR="00867184" w:rsidRDefault="00000000">
      <w:pPr>
        <w:spacing w:after="210" w:line="360" w:lineRule="auto"/>
      </w:pPr>
      <w:r>
        <w:rPr>
          <w:rFonts w:eastAsia="Georgia" w:hAnsi="Georgia" w:cs="Georgia"/>
          <w:color w:val="000000"/>
        </w:rPr>
        <w:t>Donner un nom clair à la stratégie, par exemple :</w:t>
      </w:r>
    </w:p>
    <w:p w14:paraId="2EF0BE75" w14:textId="77777777" w:rsidR="00867184" w:rsidRDefault="00000000">
      <w:pPr>
        <w:numPr>
          <w:ilvl w:val="0"/>
          <w:numId w:val="1"/>
        </w:numPr>
        <w:spacing w:before="105" w:after="105" w:line="360" w:lineRule="auto"/>
      </w:pPr>
      <w:proofErr w:type="spellStart"/>
      <w:r>
        <w:rPr>
          <w:rStyle w:val="VerbatimChar"/>
          <w:rFonts w:ascii="menlo" w:eastAsia="menlo" w:hAnsi="menlo" w:cs="menlo"/>
          <w:color w:val="000000"/>
          <w:sz w:val="18"/>
          <w:shd w:val="clear" w:color="auto" w:fill="F8F8FA"/>
        </w:rPr>
        <w:t>GPO_Interdire_CMD_Eleves</w:t>
      </w:r>
      <w:proofErr w:type="spellEnd"/>
    </w:p>
    <w:p w14:paraId="64C7499F" w14:textId="77777777" w:rsidR="00867184" w:rsidRDefault="00000000">
      <w:pPr>
        <w:numPr>
          <w:ilvl w:val="0"/>
          <w:numId w:val="1"/>
        </w:numPr>
        <w:spacing w:before="105" w:after="105" w:line="360" w:lineRule="auto"/>
      </w:pPr>
      <w:proofErr w:type="spellStart"/>
      <w:r>
        <w:rPr>
          <w:rStyle w:val="VerbatimChar"/>
          <w:rFonts w:ascii="menlo" w:eastAsia="menlo" w:hAnsi="menlo" w:cs="menlo"/>
          <w:color w:val="000000"/>
          <w:sz w:val="18"/>
          <w:shd w:val="clear" w:color="auto" w:fill="F8F8FA"/>
        </w:rPr>
        <w:t>GPO_Fond_Ecran_Salle_Info</w:t>
      </w:r>
      <w:proofErr w:type="spellEnd"/>
    </w:p>
    <w:p w14:paraId="4C603EAA" w14:textId="77777777" w:rsidR="00867184" w:rsidRDefault="00000000">
      <w:pPr>
        <w:numPr>
          <w:ilvl w:val="0"/>
          <w:numId w:val="1"/>
        </w:numPr>
        <w:spacing w:before="105" w:after="105" w:line="360" w:lineRule="auto"/>
      </w:pPr>
      <w:proofErr w:type="spellStart"/>
      <w:r>
        <w:rPr>
          <w:rStyle w:val="VerbatimChar"/>
          <w:rFonts w:ascii="menlo" w:eastAsia="menlo" w:hAnsi="menlo" w:cs="menlo"/>
          <w:color w:val="000000"/>
          <w:sz w:val="18"/>
          <w:shd w:val="clear" w:color="auto" w:fill="F8F8FA"/>
        </w:rPr>
        <w:t>GPO_Blocage_Panneau_Configuration</w:t>
      </w:r>
      <w:proofErr w:type="spellEnd"/>
    </w:p>
    <w:p w14:paraId="2350DACC" w14:textId="47CE7F45" w:rsidR="00867184" w:rsidRDefault="00000000">
      <w:pPr>
        <w:spacing w:after="210" w:line="360" w:lineRule="auto"/>
      </w:pPr>
      <w:r>
        <w:rPr>
          <w:rFonts w:eastAsia="Georgia" w:hAnsi="Georgia" w:cs="Georgia"/>
          <w:color w:val="000000"/>
        </w:rPr>
        <w:t>Un nom explicite facilite l'administration, la maintenance et le dépannage dans le temps.</w:t>
      </w:r>
    </w:p>
    <w:p w14:paraId="6FE6922F" w14:textId="77777777" w:rsidR="00867184" w:rsidRDefault="00000000">
      <w:pPr>
        <w:spacing w:before="315" w:after="105" w:line="360" w:lineRule="auto"/>
        <w:ind w:left="-30"/>
      </w:pPr>
      <w:bookmarkStart w:id="5" w:name="configuration_de_la_gpo"/>
      <w:r>
        <w:rPr>
          <w:rFonts w:eastAsia="Georgia" w:hAnsi="Georgia" w:cs="Georgia"/>
          <w:b/>
          <w:color w:val="000000"/>
          <w:sz w:val="24"/>
        </w:rPr>
        <w:lastRenderedPageBreak/>
        <w:t>Configuration de la GPO</w:t>
      </w:r>
      <w:bookmarkEnd w:id="5"/>
    </w:p>
    <w:p w14:paraId="7B82F940" w14:textId="57F5479E" w:rsidR="00867184" w:rsidRDefault="00000000">
      <w:pPr>
        <w:spacing w:after="210" w:line="360" w:lineRule="auto"/>
      </w:pPr>
      <w:r>
        <w:rPr>
          <w:rFonts w:eastAsia="Georgia" w:hAnsi="Georgia" w:cs="Georgia"/>
          <w:color w:val="000000"/>
        </w:rPr>
        <w:t xml:space="preserve">Une fois la GPO créée, il faut la modifier pour y ajouter les paramètres souhaités. Pour cela, faire un clic droit sur la GPO puis choisir </w:t>
      </w:r>
      <w:r>
        <w:rPr>
          <w:rFonts w:eastAsia="Georgia" w:hAnsi="Georgia" w:cs="Georgia"/>
          <w:b/>
          <w:color w:val="000000"/>
        </w:rPr>
        <w:t>Modifier</w:t>
      </w:r>
      <w:r>
        <w:rPr>
          <w:rFonts w:eastAsia="Georgia" w:hAnsi="Georgia" w:cs="Georgia"/>
          <w:color w:val="000000"/>
        </w:rPr>
        <w:t xml:space="preserve"> afin d'ouvrir l'Éditeur de gestion des stratégies de groupe.</w:t>
      </w:r>
    </w:p>
    <w:p w14:paraId="6AA106E8" w14:textId="77777777" w:rsidR="00867184" w:rsidRDefault="00000000">
      <w:pPr>
        <w:spacing w:after="210" w:line="360" w:lineRule="auto"/>
      </w:pPr>
      <w:r>
        <w:rPr>
          <w:rFonts w:eastAsia="Georgia" w:hAnsi="Georgia" w:cs="Georgia"/>
          <w:color w:val="000000"/>
        </w:rPr>
        <w:t>La configuration est divisée en deux grandes parties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1"/>
        <w:gridCol w:w="2112"/>
        <w:gridCol w:w="5271"/>
      </w:tblGrid>
      <w:tr w:rsidR="00867184" w14:paraId="3B2034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92D975" w14:textId="77777777" w:rsidR="00867184" w:rsidRDefault="00000000">
            <w:pPr>
              <w:spacing w:line="360" w:lineRule="auto"/>
            </w:pPr>
            <w:r>
              <w:rPr>
                <w:rFonts w:ascii="helvetica neue" w:eastAsia="helvetica neue" w:hAnsi="helvetica neue" w:cs="helvetica neue"/>
                <w:color w:val="000000"/>
                <w:sz w:val="17"/>
              </w:rPr>
              <w:t>Partie</w:t>
            </w:r>
          </w:p>
        </w:tc>
        <w:tc>
          <w:tcPr>
            <w:tcW w:w="0" w:type="auto"/>
            <w:tcBorders>
              <w:top w:val="single" w:sz="1" w:space="0" w:color="000000"/>
              <w:bottom w:val="single" w:sz="1" w:space="0" w:color="000000"/>
              <w:right w:val="single" w:sz="1" w:space="0" w:color="000000"/>
            </w:tcBorders>
          </w:tcPr>
          <w:p w14:paraId="22AD3BEA" w14:textId="77777777" w:rsidR="00867184" w:rsidRDefault="00000000">
            <w:pPr>
              <w:spacing w:line="360" w:lineRule="auto"/>
            </w:pPr>
            <w:r>
              <w:rPr>
                <w:rFonts w:ascii="helvetica neue" w:eastAsia="helvetica neue" w:hAnsi="helvetica neue" w:cs="helvetica neue"/>
                <w:color w:val="000000"/>
                <w:sz w:val="17"/>
              </w:rPr>
              <w:t>Cible</w:t>
            </w:r>
          </w:p>
        </w:tc>
        <w:tc>
          <w:tcPr>
            <w:tcW w:w="0" w:type="auto"/>
            <w:tcBorders>
              <w:top w:val="single" w:sz="1" w:space="0" w:color="000000"/>
              <w:bottom w:val="single" w:sz="1" w:space="0" w:color="000000"/>
            </w:tcBorders>
          </w:tcPr>
          <w:p w14:paraId="6AE054C0" w14:textId="77777777" w:rsidR="00867184" w:rsidRDefault="00000000">
            <w:pPr>
              <w:spacing w:line="360" w:lineRule="auto"/>
            </w:pPr>
            <w:r>
              <w:rPr>
                <w:rFonts w:ascii="helvetica neue" w:eastAsia="helvetica neue" w:hAnsi="helvetica neue" w:cs="helvetica neue"/>
                <w:color w:val="000000"/>
                <w:sz w:val="17"/>
              </w:rPr>
              <w:t>Usage principal</w:t>
            </w:r>
          </w:p>
        </w:tc>
      </w:tr>
      <w:tr w:rsidR="00867184" w14:paraId="06F759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832CD6" w14:textId="77777777" w:rsidR="00867184" w:rsidRDefault="00000000">
            <w:pPr>
              <w:spacing w:line="360" w:lineRule="auto"/>
            </w:pPr>
            <w:r>
              <w:rPr>
                <w:rFonts w:ascii="helvetica neue" w:eastAsia="helvetica neue" w:hAnsi="helvetica neue" w:cs="helvetica neue"/>
                <w:color w:val="000000"/>
                <w:sz w:val="17"/>
              </w:rPr>
              <w:t>Configuration ordinateur</w:t>
            </w:r>
          </w:p>
        </w:tc>
        <w:tc>
          <w:tcPr>
            <w:tcW w:w="0" w:type="auto"/>
            <w:tcBorders>
              <w:top w:val="single" w:sz="1" w:space="0" w:color="000000"/>
              <w:bottom w:val="single" w:sz="1" w:space="0" w:color="000000"/>
              <w:right w:val="single" w:sz="1" w:space="0" w:color="000000"/>
            </w:tcBorders>
          </w:tcPr>
          <w:p w14:paraId="0C5BF6CC" w14:textId="77777777" w:rsidR="00867184" w:rsidRDefault="00000000">
            <w:pPr>
              <w:spacing w:line="360" w:lineRule="auto"/>
            </w:pPr>
            <w:r>
              <w:rPr>
                <w:rFonts w:ascii="helvetica neue" w:eastAsia="helvetica neue" w:hAnsi="helvetica neue" w:cs="helvetica neue"/>
                <w:color w:val="000000"/>
                <w:sz w:val="17"/>
              </w:rPr>
              <w:t>Ordinateurs du domaine</w:t>
            </w:r>
          </w:p>
        </w:tc>
        <w:tc>
          <w:tcPr>
            <w:tcW w:w="0" w:type="auto"/>
            <w:tcBorders>
              <w:top w:val="single" w:sz="1" w:space="0" w:color="000000"/>
              <w:bottom w:val="single" w:sz="1" w:space="0" w:color="000000"/>
            </w:tcBorders>
          </w:tcPr>
          <w:p w14:paraId="3F17968C" w14:textId="61DE50BC" w:rsidR="00867184" w:rsidRDefault="00000000">
            <w:pPr>
              <w:spacing w:line="360" w:lineRule="auto"/>
            </w:pPr>
            <w:r>
              <w:rPr>
                <w:rFonts w:ascii="helvetica neue" w:eastAsia="helvetica neue" w:hAnsi="helvetica neue" w:cs="helvetica neue"/>
                <w:color w:val="000000"/>
                <w:sz w:val="17"/>
              </w:rPr>
              <w:t>Paramètres machine, sécurité, scripts de démarrage</w:t>
            </w:r>
          </w:p>
        </w:tc>
      </w:tr>
      <w:tr w:rsidR="00867184" w14:paraId="32D315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37C2AC" w14:textId="77777777" w:rsidR="00867184" w:rsidRDefault="00000000">
            <w:pPr>
              <w:spacing w:line="360" w:lineRule="auto"/>
            </w:pPr>
            <w:r>
              <w:rPr>
                <w:rFonts w:ascii="helvetica neue" w:eastAsia="helvetica neue" w:hAnsi="helvetica neue" w:cs="helvetica neue"/>
                <w:color w:val="000000"/>
                <w:sz w:val="17"/>
              </w:rPr>
              <w:t>Configuration utilisateur</w:t>
            </w:r>
          </w:p>
        </w:tc>
        <w:tc>
          <w:tcPr>
            <w:tcW w:w="0" w:type="auto"/>
            <w:tcBorders>
              <w:top w:val="single" w:sz="1" w:space="0" w:color="000000"/>
              <w:bottom w:val="single" w:sz="1" w:space="0" w:color="000000"/>
              <w:right w:val="single" w:sz="1" w:space="0" w:color="000000"/>
            </w:tcBorders>
          </w:tcPr>
          <w:p w14:paraId="28341A40" w14:textId="77777777" w:rsidR="00867184" w:rsidRDefault="00000000">
            <w:pPr>
              <w:spacing w:line="360" w:lineRule="auto"/>
            </w:pPr>
            <w:r>
              <w:rPr>
                <w:rFonts w:ascii="helvetica neue" w:eastAsia="helvetica neue" w:hAnsi="helvetica neue" w:cs="helvetica neue"/>
                <w:color w:val="000000"/>
                <w:sz w:val="17"/>
              </w:rPr>
              <w:t>Comptes utilisateurs</w:t>
            </w:r>
          </w:p>
        </w:tc>
        <w:tc>
          <w:tcPr>
            <w:tcW w:w="0" w:type="auto"/>
            <w:tcBorders>
              <w:top w:val="single" w:sz="1" w:space="0" w:color="000000"/>
              <w:bottom w:val="single" w:sz="1" w:space="0" w:color="000000"/>
            </w:tcBorders>
          </w:tcPr>
          <w:p w14:paraId="71DFD3F3" w14:textId="28CC2041" w:rsidR="00867184" w:rsidRDefault="00000000">
            <w:pPr>
              <w:spacing w:line="360" w:lineRule="auto"/>
            </w:pPr>
            <w:r>
              <w:rPr>
                <w:rFonts w:ascii="helvetica neue" w:eastAsia="helvetica neue" w:hAnsi="helvetica neue" w:cs="helvetica neue"/>
                <w:color w:val="000000"/>
                <w:sz w:val="17"/>
              </w:rPr>
              <w:t xml:space="preserve">Bureau, restrictions, panneau de configuration, invite de commande </w:t>
            </w:r>
          </w:p>
        </w:tc>
      </w:tr>
    </w:tbl>
    <w:p w14:paraId="66DF4704" w14:textId="77777777" w:rsidR="00867184" w:rsidRDefault="00867184"/>
    <w:p w14:paraId="1EB45A18" w14:textId="77777777" w:rsidR="00867184" w:rsidRDefault="00000000">
      <w:pPr>
        <w:spacing w:before="315" w:after="105" w:line="360" w:lineRule="auto"/>
        <w:ind w:left="-30"/>
      </w:pPr>
      <w:bookmarkStart w:id="6" w:name="exemples_de_paramètres_courants"/>
      <w:r>
        <w:rPr>
          <w:rFonts w:eastAsia="Georgia" w:hAnsi="Georgia" w:cs="Georgia"/>
          <w:b/>
          <w:color w:val="000000"/>
          <w:sz w:val="24"/>
        </w:rPr>
        <w:t>Exemples de paramètres courants</w:t>
      </w:r>
      <w:bookmarkEnd w:id="6"/>
    </w:p>
    <w:p w14:paraId="07F104F1" w14:textId="77777777" w:rsidR="00867184" w:rsidRDefault="00000000">
      <w:pPr>
        <w:spacing w:before="315" w:after="105" w:line="360" w:lineRule="auto"/>
        <w:ind w:left="-30"/>
      </w:pPr>
      <w:bookmarkStart w:id="7" w:name="interdire_l_invite_de_commande"/>
      <w:r>
        <w:rPr>
          <w:rFonts w:eastAsia="Georgia" w:hAnsi="Georgia" w:cs="Georgia"/>
          <w:b/>
          <w:color w:val="000000"/>
          <w:sz w:val="24"/>
        </w:rPr>
        <w:t>Interdire l'invite de commande</w:t>
      </w:r>
      <w:bookmarkEnd w:id="7"/>
    </w:p>
    <w:p w14:paraId="44574A32" w14:textId="77777777" w:rsidR="00867184" w:rsidRDefault="00000000">
      <w:pPr>
        <w:spacing w:after="210" w:line="360" w:lineRule="auto"/>
      </w:pPr>
      <w:r>
        <w:rPr>
          <w:rFonts w:eastAsia="Georgia" w:hAnsi="Georgia" w:cs="Georgia"/>
          <w:color w:val="000000"/>
        </w:rPr>
        <w:t>Pour empêcher les élèves d'utiliser l'invite de commande, aller dans :</w:t>
      </w:r>
    </w:p>
    <w:p w14:paraId="63C6464A" w14:textId="77777777" w:rsidR="00867184" w:rsidRDefault="00000000">
      <w:pPr>
        <w:spacing w:after="210" w:line="360" w:lineRule="auto"/>
      </w:pPr>
      <w:r>
        <w:rPr>
          <w:rStyle w:val="VerbatimChar"/>
          <w:rFonts w:ascii="menlo" w:eastAsia="menlo" w:hAnsi="menlo" w:cs="menlo"/>
          <w:color w:val="000000"/>
          <w:sz w:val="18"/>
          <w:shd w:val="clear" w:color="auto" w:fill="F8F8FA"/>
        </w:rPr>
        <w:t>Configuration utilisateur &gt; Stratégies &gt; Modèles d'administration &gt; Système</w:t>
      </w:r>
    </w:p>
    <w:p w14:paraId="488374D3" w14:textId="39FE1CEE" w:rsidR="00867184" w:rsidRDefault="00000000">
      <w:pPr>
        <w:spacing w:after="210" w:line="360" w:lineRule="auto"/>
      </w:pPr>
      <w:r>
        <w:rPr>
          <w:rFonts w:eastAsia="Georgia" w:hAnsi="Georgia" w:cs="Georgia"/>
          <w:color w:val="000000"/>
        </w:rPr>
        <w:t xml:space="preserve">Puis ouvrir le paramètre </w:t>
      </w:r>
      <w:r>
        <w:rPr>
          <w:rFonts w:eastAsia="Georgia" w:hAnsi="Georgia" w:cs="Georgia"/>
          <w:b/>
          <w:color w:val="000000"/>
        </w:rPr>
        <w:t>Empêcher l'accès à l'invite de commandes</w:t>
      </w:r>
      <w:r>
        <w:rPr>
          <w:rFonts w:eastAsia="Georgia" w:hAnsi="Georgia" w:cs="Georgia"/>
          <w:color w:val="000000"/>
        </w:rPr>
        <w:t xml:space="preserve">, choisir </w:t>
      </w:r>
      <w:r>
        <w:rPr>
          <w:rFonts w:eastAsia="Georgia" w:hAnsi="Georgia" w:cs="Georgia"/>
          <w:b/>
          <w:color w:val="000000"/>
        </w:rPr>
        <w:t>Activé</w:t>
      </w:r>
      <w:r>
        <w:rPr>
          <w:rFonts w:eastAsia="Georgia" w:hAnsi="Georgia" w:cs="Georgia"/>
          <w:color w:val="000000"/>
        </w:rPr>
        <w:t xml:space="preserve">, puis valider avec </w:t>
      </w:r>
      <w:r>
        <w:rPr>
          <w:rFonts w:eastAsia="Georgia" w:hAnsi="Georgia" w:cs="Georgia"/>
          <w:b/>
          <w:color w:val="000000"/>
        </w:rPr>
        <w:t>Appliquer</w:t>
      </w:r>
      <w:r>
        <w:rPr>
          <w:rFonts w:eastAsia="Georgia" w:hAnsi="Georgia" w:cs="Georgia"/>
          <w:color w:val="000000"/>
        </w:rPr>
        <w:t xml:space="preserve"> et </w:t>
      </w:r>
      <w:r>
        <w:rPr>
          <w:rFonts w:eastAsia="Georgia" w:hAnsi="Georgia" w:cs="Georgia"/>
          <w:b/>
          <w:color w:val="000000"/>
        </w:rPr>
        <w:t>OK</w:t>
      </w:r>
      <w:r>
        <w:rPr>
          <w:rFonts w:eastAsia="Georgia" w:hAnsi="Georgia" w:cs="Georgia"/>
          <w:color w:val="000000"/>
        </w:rPr>
        <w:t>.</w:t>
      </w:r>
    </w:p>
    <w:p w14:paraId="7625AABA" w14:textId="77777777" w:rsidR="00867184" w:rsidRDefault="00000000">
      <w:pPr>
        <w:spacing w:before="315" w:after="105" w:line="360" w:lineRule="auto"/>
        <w:ind w:left="-30"/>
      </w:pPr>
      <w:bookmarkStart w:id="8" w:name="bloquer_le_panneau_de_configuration"/>
      <w:r>
        <w:rPr>
          <w:rFonts w:eastAsia="Georgia" w:hAnsi="Georgia" w:cs="Georgia"/>
          <w:b/>
          <w:color w:val="000000"/>
          <w:sz w:val="24"/>
        </w:rPr>
        <w:t>Bloquer le panneau de configuration</w:t>
      </w:r>
      <w:bookmarkEnd w:id="8"/>
    </w:p>
    <w:p w14:paraId="1E1386E0" w14:textId="77777777" w:rsidR="00867184" w:rsidRDefault="00000000">
      <w:pPr>
        <w:spacing w:after="210" w:line="360" w:lineRule="auto"/>
      </w:pPr>
      <w:r>
        <w:rPr>
          <w:rFonts w:eastAsia="Georgia" w:hAnsi="Georgia" w:cs="Georgia"/>
          <w:color w:val="000000"/>
        </w:rPr>
        <w:t>Pour interdire le panneau de configuration et les paramètres Windows, aller dans :</w:t>
      </w:r>
    </w:p>
    <w:p w14:paraId="6E2A0907" w14:textId="77777777" w:rsidR="00867184" w:rsidRDefault="00000000">
      <w:pPr>
        <w:spacing w:after="210" w:line="360" w:lineRule="auto"/>
      </w:pPr>
      <w:r>
        <w:rPr>
          <w:rStyle w:val="VerbatimChar"/>
          <w:rFonts w:ascii="menlo" w:eastAsia="menlo" w:hAnsi="menlo" w:cs="menlo"/>
          <w:color w:val="000000"/>
          <w:sz w:val="18"/>
          <w:shd w:val="clear" w:color="auto" w:fill="F8F8FA"/>
        </w:rPr>
        <w:t>Configuration utilisateur &gt; Stratégies &gt; Modèles d'administration &gt; Panneau de configuration</w:t>
      </w:r>
    </w:p>
    <w:p w14:paraId="5DA94096" w14:textId="64A89C98" w:rsidR="00867184" w:rsidRDefault="00000000">
      <w:pPr>
        <w:spacing w:after="210" w:line="360" w:lineRule="auto"/>
      </w:pPr>
      <w:r>
        <w:rPr>
          <w:rFonts w:eastAsia="Georgia" w:hAnsi="Georgia" w:cs="Georgia"/>
          <w:color w:val="000000"/>
        </w:rPr>
        <w:t xml:space="preserve">Puis activer le paramètre </w:t>
      </w:r>
      <w:r>
        <w:rPr>
          <w:rFonts w:eastAsia="Georgia" w:hAnsi="Georgia" w:cs="Georgia"/>
          <w:b/>
          <w:color w:val="000000"/>
        </w:rPr>
        <w:t>Interdire l'accès au panneau de configuration et aux Paramètres PC</w:t>
      </w:r>
      <w:r>
        <w:rPr>
          <w:rFonts w:eastAsia="Georgia" w:hAnsi="Georgia" w:cs="Georgia"/>
          <w:color w:val="000000"/>
        </w:rPr>
        <w:t>.</w:t>
      </w:r>
    </w:p>
    <w:p w14:paraId="411F9BD3" w14:textId="77777777" w:rsidR="00867184" w:rsidRDefault="00000000">
      <w:pPr>
        <w:spacing w:before="315" w:after="105" w:line="360" w:lineRule="auto"/>
        <w:ind w:left="-30"/>
      </w:pPr>
      <w:bookmarkStart w:id="9" w:name="imposer_un_fond_d_écran"/>
      <w:r>
        <w:rPr>
          <w:rFonts w:eastAsia="Georgia" w:hAnsi="Georgia" w:cs="Georgia"/>
          <w:b/>
          <w:color w:val="000000"/>
          <w:sz w:val="24"/>
        </w:rPr>
        <w:t>Imposer un fond d'écran</w:t>
      </w:r>
      <w:bookmarkEnd w:id="9"/>
    </w:p>
    <w:p w14:paraId="74A9C59E" w14:textId="77777777" w:rsidR="00867184" w:rsidRDefault="00000000">
      <w:pPr>
        <w:spacing w:after="210" w:line="360" w:lineRule="auto"/>
      </w:pPr>
      <w:r>
        <w:rPr>
          <w:rFonts w:eastAsia="Georgia" w:hAnsi="Georgia" w:cs="Georgia"/>
          <w:color w:val="000000"/>
        </w:rPr>
        <w:t>Pour imposer un fond d'écran, aller dans :</w:t>
      </w:r>
    </w:p>
    <w:p w14:paraId="300F21AE" w14:textId="77777777" w:rsidR="00867184" w:rsidRDefault="00000000">
      <w:pPr>
        <w:spacing w:after="210" w:line="360" w:lineRule="auto"/>
      </w:pPr>
      <w:r>
        <w:rPr>
          <w:rStyle w:val="VerbatimChar"/>
          <w:rFonts w:ascii="menlo" w:eastAsia="menlo" w:hAnsi="menlo" w:cs="menlo"/>
          <w:color w:val="000000"/>
          <w:sz w:val="18"/>
          <w:shd w:val="clear" w:color="auto" w:fill="F8F8FA"/>
        </w:rPr>
        <w:t>Configuration utilisateur &gt; Stratégies &gt; Modèles d'administration &gt; Bureau &gt; Bureau</w:t>
      </w:r>
    </w:p>
    <w:p w14:paraId="4F8BDD9C" w14:textId="288C0917" w:rsidR="00867184" w:rsidRDefault="00000000">
      <w:pPr>
        <w:spacing w:after="210" w:line="360" w:lineRule="auto"/>
      </w:pPr>
      <w:r>
        <w:rPr>
          <w:rFonts w:eastAsia="Georgia" w:hAnsi="Georgia" w:cs="Georgia"/>
          <w:color w:val="000000"/>
        </w:rPr>
        <w:t xml:space="preserve">Puis activer </w:t>
      </w:r>
      <w:r>
        <w:rPr>
          <w:rFonts w:eastAsia="Georgia" w:hAnsi="Georgia" w:cs="Georgia"/>
          <w:b/>
          <w:color w:val="000000"/>
        </w:rPr>
        <w:t>Fond d'écran du Bureau</w:t>
      </w:r>
      <w:r>
        <w:rPr>
          <w:rFonts w:eastAsia="Georgia" w:hAnsi="Georgia" w:cs="Georgia"/>
          <w:color w:val="000000"/>
        </w:rPr>
        <w:t xml:space="preserve"> et saisir le chemin du fichier image, de préférence via un partage réseau accessible à tous les utilisateurs concernés.</w:t>
      </w:r>
    </w:p>
    <w:p w14:paraId="43C19BDD" w14:textId="77777777" w:rsidR="00867184" w:rsidRDefault="00000000">
      <w:pPr>
        <w:spacing w:before="315" w:after="105" w:line="360" w:lineRule="auto"/>
        <w:ind w:left="-30"/>
      </w:pPr>
      <w:bookmarkStart w:id="10" w:name="liaison_et_portée_de_la_gpo"/>
      <w:r>
        <w:rPr>
          <w:rFonts w:eastAsia="Georgia" w:hAnsi="Georgia" w:cs="Georgia"/>
          <w:b/>
          <w:color w:val="000000"/>
          <w:sz w:val="24"/>
        </w:rPr>
        <w:lastRenderedPageBreak/>
        <w:t>Liaison et portée de la GPO</w:t>
      </w:r>
      <w:bookmarkEnd w:id="10"/>
    </w:p>
    <w:p w14:paraId="7585403A" w14:textId="45DDF684" w:rsidR="00867184" w:rsidRDefault="00000000">
      <w:pPr>
        <w:spacing w:after="210" w:line="360" w:lineRule="auto"/>
      </w:pPr>
      <w:r>
        <w:rPr>
          <w:rFonts w:eastAsia="Georgia" w:hAnsi="Georgia" w:cs="Georgia"/>
          <w:color w:val="000000"/>
        </w:rPr>
        <w:t xml:space="preserve">Une GPO s'applique aux objets situés dans l'OU à laquelle elle est liée. Si la stratégie n'a pas été liée lors de sa création, il faut faire un clic droit sur l'OU puis sélectionner </w:t>
      </w:r>
      <w:r>
        <w:rPr>
          <w:rFonts w:eastAsia="Georgia" w:hAnsi="Georgia" w:cs="Georgia"/>
          <w:b/>
          <w:color w:val="000000"/>
        </w:rPr>
        <w:t>Lier un objet de stratégie de groupe existant</w:t>
      </w:r>
      <w:r>
        <w:rPr>
          <w:rFonts w:eastAsia="Georgia" w:hAnsi="Georgia" w:cs="Georgia"/>
          <w:color w:val="000000"/>
        </w:rPr>
        <w:t>.</w:t>
      </w:r>
    </w:p>
    <w:p w14:paraId="13FDF433" w14:textId="113A6725" w:rsidR="00867184" w:rsidRDefault="00000000">
      <w:pPr>
        <w:spacing w:after="210" w:line="360" w:lineRule="auto"/>
      </w:pPr>
      <w:r>
        <w:rPr>
          <w:rFonts w:eastAsia="Georgia" w:hAnsi="Georgia" w:cs="Georgia"/>
          <w:color w:val="000000"/>
        </w:rPr>
        <w:t>Le filtrage de sécurité et l'ordre de priorité peuvent également modifier l'application réelle de la GPO. Une stratégie mal liée ou filtrée peut exister sans jamais s'appliquer aux utilisateurs ciblés</w:t>
      </w:r>
      <w:r w:rsidR="008F63CB">
        <w:rPr>
          <w:rFonts w:eastAsia="Georgia" w:hAnsi="Georgia" w:cs="Georgia"/>
          <w:color w:val="000000"/>
        </w:rPr>
        <w:t>.</w:t>
      </w:r>
    </w:p>
    <w:p w14:paraId="108DF736" w14:textId="77777777" w:rsidR="00867184" w:rsidRDefault="00000000">
      <w:pPr>
        <w:spacing w:before="315" w:after="105" w:line="360" w:lineRule="auto"/>
        <w:ind w:left="-30"/>
      </w:pPr>
      <w:bookmarkStart w:id="11" w:name="mise_à_jour_et_test_sur_un_poste_client"/>
      <w:r>
        <w:rPr>
          <w:rFonts w:eastAsia="Georgia" w:hAnsi="Georgia" w:cs="Georgia"/>
          <w:b/>
          <w:color w:val="000000"/>
          <w:sz w:val="24"/>
        </w:rPr>
        <w:t>Mise à jour et test sur un poste client</w:t>
      </w:r>
      <w:bookmarkEnd w:id="11"/>
    </w:p>
    <w:p w14:paraId="31518C50" w14:textId="77777777" w:rsidR="00867184" w:rsidRDefault="00000000">
      <w:pPr>
        <w:spacing w:after="210" w:line="360" w:lineRule="auto"/>
      </w:pPr>
      <w:r>
        <w:rPr>
          <w:rFonts w:eastAsia="Georgia" w:hAnsi="Georgia" w:cs="Georgia"/>
          <w:color w:val="000000"/>
        </w:rPr>
        <w:t>Après création de la stratégie, il faut tester son application sur un poste membre du domaine. La commande suivante permet de forcer la mise à jour des stratégies :</w:t>
      </w:r>
    </w:p>
    <w:p w14:paraId="2080ADA9" w14:textId="77777777" w:rsidR="00867184" w:rsidRDefault="00000000">
      <w:pPr>
        <w:shd w:val="clear" w:color="auto" w:fill="F8F8FA"/>
        <w:spacing w:line="336" w:lineRule="auto"/>
      </w:pPr>
      <w:proofErr w:type="spellStart"/>
      <w:proofErr w:type="gramStart"/>
      <w:r>
        <w:rPr>
          <w:rStyle w:val="VerbatimChar"/>
          <w:rFonts w:ascii="menlo" w:eastAsia="menlo" w:hAnsi="menlo" w:cs="menlo"/>
          <w:color w:val="000000"/>
          <w:sz w:val="18"/>
        </w:rPr>
        <w:t>gpupdate</w:t>
      </w:r>
      <w:proofErr w:type="spellEnd"/>
      <w:proofErr w:type="gramEnd"/>
      <w:r>
        <w:rPr>
          <w:rStyle w:val="VerbatimChar"/>
          <w:rFonts w:ascii="menlo" w:eastAsia="menlo" w:hAnsi="menlo" w:cs="menlo"/>
          <w:color w:val="000000"/>
          <w:sz w:val="18"/>
        </w:rPr>
        <w:t xml:space="preserve"> /force</w:t>
      </w:r>
      <w:r>
        <w:rPr>
          <w:rStyle w:val="VerbatimChar"/>
          <w:rFonts w:ascii="menlo" w:eastAsia="menlo" w:hAnsi="menlo" w:cs="menlo"/>
          <w:color w:val="000000"/>
          <w:sz w:val="18"/>
        </w:rPr>
        <w:br/>
      </w:r>
    </w:p>
    <w:p w14:paraId="0392E2A6" w14:textId="273D47C4" w:rsidR="00867184" w:rsidRDefault="00000000">
      <w:pPr>
        <w:spacing w:after="210" w:line="360" w:lineRule="auto"/>
      </w:pPr>
      <w:r>
        <w:rPr>
          <w:rFonts w:eastAsia="Georgia" w:hAnsi="Georgia" w:cs="Georgia"/>
          <w:color w:val="000000"/>
        </w:rPr>
        <w:t>Après cette commande, une déconnexion, reconnexion ou un redémarrage peut être nécessaire selon le paramètre configuré.</w:t>
      </w:r>
    </w:p>
    <w:p w14:paraId="350D9AE6" w14:textId="77777777" w:rsidR="00867184" w:rsidRDefault="00000000">
      <w:pPr>
        <w:spacing w:after="210" w:line="360" w:lineRule="auto"/>
      </w:pPr>
      <w:r>
        <w:rPr>
          <w:rFonts w:eastAsia="Georgia" w:hAnsi="Georgia" w:cs="Georgia"/>
          <w:color w:val="000000"/>
        </w:rPr>
        <w:t>Pour vérifier les stratégies appliquées sur un poste, il est possible d'utiliser :</w:t>
      </w:r>
    </w:p>
    <w:p w14:paraId="65FC43EB" w14:textId="77777777" w:rsidR="00867184" w:rsidRDefault="00000000">
      <w:pPr>
        <w:shd w:val="clear" w:color="auto" w:fill="F8F8FA"/>
        <w:spacing w:line="336" w:lineRule="auto"/>
      </w:pPr>
      <w:proofErr w:type="spellStart"/>
      <w:proofErr w:type="gramStart"/>
      <w:r>
        <w:rPr>
          <w:rStyle w:val="VerbatimChar"/>
          <w:rFonts w:ascii="menlo" w:eastAsia="menlo" w:hAnsi="menlo" w:cs="menlo"/>
          <w:color w:val="000000"/>
          <w:sz w:val="18"/>
        </w:rPr>
        <w:t>gpresult</w:t>
      </w:r>
      <w:proofErr w:type="spellEnd"/>
      <w:proofErr w:type="gramEnd"/>
      <w:r>
        <w:rPr>
          <w:rStyle w:val="VerbatimChar"/>
          <w:rFonts w:ascii="menlo" w:eastAsia="menlo" w:hAnsi="menlo" w:cs="menlo"/>
          <w:color w:val="000000"/>
          <w:sz w:val="18"/>
        </w:rPr>
        <w:t xml:space="preserve"> /r</w:t>
      </w:r>
      <w:r>
        <w:rPr>
          <w:rStyle w:val="VerbatimChar"/>
          <w:rFonts w:ascii="menlo" w:eastAsia="menlo" w:hAnsi="menlo" w:cs="menlo"/>
          <w:color w:val="000000"/>
          <w:sz w:val="18"/>
        </w:rPr>
        <w:br/>
      </w:r>
    </w:p>
    <w:p w14:paraId="19C66A76" w14:textId="3EBCE136" w:rsidR="00867184" w:rsidRDefault="00000000">
      <w:pPr>
        <w:spacing w:after="210" w:line="360" w:lineRule="auto"/>
      </w:pPr>
      <w:r>
        <w:rPr>
          <w:rFonts w:eastAsia="Georgia" w:hAnsi="Georgia" w:cs="Georgia"/>
          <w:color w:val="000000"/>
        </w:rPr>
        <w:t>Cette commande affiche les GPO appliquées à l'utilisateur et à l'ordinateur, ce qui aide à vérifier si la stratégie fonctionne réellement.</w:t>
      </w:r>
    </w:p>
    <w:p w14:paraId="6BEEED68" w14:textId="77777777" w:rsidR="00867184" w:rsidRDefault="00000000">
      <w:pPr>
        <w:spacing w:before="315" w:after="105" w:line="360" w:lineRule="auto"/>
        <w:ind w:left="-30"/>
      </w:pPr>
      <w:bookmarkStart w:id="12" w:name="bonnes_pratiques"/>
      <w:r>
        <w:rPr>
          <w:rFonts w:eastAsia="Georgia" w:hAnsi="Georgia" w:cs="Georgia"/>
          <w:b/>
          <w:color w:val="000000"/>
          <w:sz w:val="24"/>
        </w:rPr>
        <w:t>Bonnes pratiques</w:t>
      </w:r>
      <w:bookmarkEnd w:id="12"/>
    </w:p>
    <w:p w14:paraId="4816A5FE" w14:textId="77777777" w:rsidR="00867184" w:rsidRDefault="00000000">
      <w:pPr>
        <w:spacing w:after="210" w:line="360" w:lineRule="auto"/>
      </w:pPr>
      <w:r>
        <w:rPr>
          <w:rFonts w:eastAsia="Georgia" w:hAnsi="Georgia" w:cs="Georgia"/>
          <w:color w:val="000000"/>
        </w:rPr>
        <w:t>Pour une administration propre, il est recommandé de :</w:t>
      </w:r>
    </w:p>
    <w:p w14:paraId="27EADAD1" w14:textId="1DD033DF" w:rsidR="00867184" w:rsidRDefault="00000000">
      <w:pPr>
        <w:numPr>
          <w:ilvl w:val="0"/>
          <w:numId w:val="2"/>
        </w:numPr>
        <w:spacing w:before="105" w:after="105" w:line="360" w:lineRule="auto"/>
      </w:pPr>
      <w:r>
        <w:rPr>
          <w:rFonts w:eastAsia="Georgia" w:hAnsi="Georgia" w:cs="Georgia"/>
          <w:color w:val="000000"/>
        </w:rPr>
        <w:t>Créer des OU séparées pour les élèves, techniciens et ordinateurs.</w:t>
      </w:r>
    </w:p>
    <w:p w14:paraId="77D939B9" w14:textId="0750D5D5" w:rsidR="00867184" w:rsidRDefault="00000000">
      <w:pPr>
        <w:numPr>
          <w:ilvl w:val="0"/>
          <w:numId w:val="2"/>
        </w:numPr>
        <w:spacing w:before="105" w:after="105" w:line="360" w:lineRule="auto"/>
      </w:pPr>
      <w:r>
        <w:rPr>
          <w:rFonts w:eastAsia="Georgia" w:hAnsi="Georgia" w:cs="Georgia"/>
          <w:color w:val="000000"/>
        </w:rPr>
        <w:t>Donner des noms clairs aux GPO et éviter de tout mettre dans une seule stratégie.</w:t>
      </w:r>
    </w:p>
    <w:p w14:paraId="63885814" w14:textId="3970DE9C" w:rsidR="00867184" w:rsidRDefault="00000000">
      <w:pPr>
        <w:numPr>
          <w:ilvl w:val="0"/>
          <w:numId w:val="2"/>
        </w:numPr>
        <w:spacing w:before="105" w:after="105" w:line="360" w:lineRule="auto"/>
      </w:pPr>
      <w:r>
        <w:rPr>
          <w:rFonts w:eastAsia="Georgia" w:hAnsi="Georgia" w:cs="Georgia"/>
          <w:color w:val="000000"/>
        </w:rPr>
        <w:t>Tester chaque GPO sur une OU pilote avant un déploiement plus large.</w:t>
      </w:r>
    </w:p>
    <w:p w14:paraId="00A7EA6F" w14:textId="660B50B8" w:rsidR="00867184" w:rsidRDefault="00000000">
      <w:pPr>
        <w:numPr>
          <w:ilvl w:val="0"/>
          <w:numId w:val="2"/>
        </w:numPr>
        <w:spacing w:before="105" w:after="105" w:line="360" w:lineRule="auto"/>
      </w:pPr>
      <w:r>
        <w:rPr>
          <w:rFonts w:eastAsia="Georgia" w:hAnsi="Georgia" w:cs="Georgia"/>
          <w:color w:val="000000"/>
        </w:rPr>
        <w:t>Documenter l'objectif de chaque GPO pour simplifier la maintenance.</w:t>
      </w:r>
    </w:p>
    <w:p w14:paraId="44D95EC5" w14:textId="77777777" w:rsidR="00867184" w:rsidRDefault="00000000">
      <w:pPr>
        <w:spacing w:before="315" w:after="105" w:line="360" w:lineRule="auto"/>
        <w:ind w:left="-30"/>
      </w:pPr>
      <w:bookmarkStart w:id="13" w:name="exemple_de_scénario_de_tp"/>
      <w:r>
        <w:rPr>
          <w:rFonts w:eastAsia="Georgia" w:hAnsi="Georgia" w:cs="Georgia"/>
          <w:b/>
          <w:color w:val="000000"/>
          <w:sz w:val="24"/>
        </w:rPr>
        <w:t>Exemple de scénario de TP</w:t>
      </w:r>
      <w:bookmarkEnd w:id="13"/>
    </w:p>
    <w:p w14:paraId="6215791E" w14:textId="77777777" w:rsidR="00867184" w:rsidRDefault="00000000">
      <w:pPr>
        <w:spacing w:after="210" w:line="360" w:lineRule="auto"/>
      </w:pPr>
      <w:r>
        <w:rPr>
          <w:rFonts w:eastAsia="Georgia" w:hAnsi="Georgia" w:cs="Georgia"/>
          <w:color w:val="000000"/>
        </w:rPr>
        <w:t>Dans un contexte scolaire ou de TP, une organisation simple peut être la suivante :</w:t>
      </w:r>
    </w:p>
    <w:p w14:paraId="6CD45920" w14:textId="2784558D" w:rsidR="00867184" w:rsidRDefault="00000000">
      <w:pPr>
        <w:numPr>
          <w:ilvl w:val="0"/>
          <w:numId w:val="3"/>
        </w:numPr>
        <w:spacing w:before="105" w:after="105" w:line="360" w:lineRule="auto"/>
      </w:pPr>
      <w:r>
        <w:rPr>
          <w:rFonts w:eastAsia="Georgia" w:hAnsi="Georgia" w:cs="Georgia"/>
          <w:color w:val="000000"/>
        </w:rPr>
        <w:t xml:space="preserve">OU </w:t>
      </w:r>
      <w:proofErr w:type="spellStart"/>
      <w:r>
        <w:rPr>
          <w:rStyle w:val="VerbatimChar"/>
          <w:rFonts w:ascii="menlo" w:eastAsia="menlo" w:hAnsi="menlo" w:cs="menlo"/>
          <w:color w:val="000000"/>
          <w:sz w:val="18"/>
          <w:shd w:val="clear" w:color="auto" w:fill="F8F8FA"/>
        </w:rPr>
        <w:t>Eleves</w:t>
      </w:r>
      <w:proofErr w:type="spellEnd"/>
      <w:r>
        <w:rPr>
          <w:rFonts w:eastAsia="Georgia" w:hAnsi="Georgia" w:cs="Georgia"/>
          <w:color w:val="000000"/>
        </w:rPr>
        <w:t xml:space="preserve"> : GPO pour bloquer l'invite de commande et le panneau de configuration.</w:t>
      </w:r>
    </w:p>
    <w:p w14:paraId="296C09AD" w14:textId="1AD2C5BC" w:rsidR="00867184" w:rsidRDefault="00000000">
      <w:pPr>
        <w:numPr>
          <w:ilvl w:val="0"/>
          <w:numId w:val="3"/>
        </w:numPr>
        <w:spacing w:before="105" w:after="105" w:line="360" w:lineRule="auto"/>
      </w:pPr>
      <w:r>
        <w:rPr>
          <w:rFonts w:eastAsia="Georgia" w:hAnsi="Georgia" w:cs="Georgia"/>
          <w:color w:val="000000"/>
        </w:rPr>
        <w:lastRenderedPageBreak/>
        <w:t xml:space="preserve">OU </w:t>
      </w:r>
      <w:r>
        <w:rPr>
          <w:rStyle w:val="VerbatimChar"/>
          <w:rFonts w:ascii="menlo" w:eastAsia="menlo" w:hAnsi="menlo" w:cs="menlo"/>
          <w:color w:val="000000"/>
          <w:sz w:val="18"/>
          <w:shd w:val="clear" w:color="auto" w:fill="F8F8FA"/>
        </w:rPr>
        <w:t>Techniciens</w:t>
      </w:r>
      <w:r>
        <w:rPr>
          <w:rFonts w:eastAsia="Georgia" w:hAnsi="Georgia" w:cs="Georgia"/>
          <w:color w:val="000000"/>
        </w:rPr>
        <w:t xml:space="preserve"> : GPO plus souple avec outils d'administration autorisés.</w:t>
      </w:r>
    </w:p>
    <w:p w14:paraId="30BBFECD" w14:textId="33D3E205" w:rsidR="00867184" w:rsidRDefault="00000000">
      <w:pPr>
        <w:numPr>
          <w:ilvl w:val="0"/>
          <w:numId w:val="3"/>
        </w:numPr>
        <w:spacing w:before="105" w:after="105" w:line="360" w:lineRule="auto"/>
      </w:pPr>
      <w:r>
        <w:rPr>
          <w:rFonts w:eastAsia="Georgia" w:hAnsi="Georgia" w:cs="Georgia"/>
          <w:color w:val="000000"/>
        </w:rPr>
        <w:t xml:space="preserve">OU </w:t>
      </w:r>
      <w:proofErr w:type="spellStart"/>
      <w:r>
        <w:rPr>
          <w:rStyle w:val="VerbatimChar"/>
          <w:rFonts w:ascii="menlo" w:eastAsia="menlo" w:hAnsi="menlo" w:cs="menlo"/>
          <w:color w:val="000000"/>
          <w:sz w:val="18"/>
          <w:shd w:val="clear" w:color="auto" w:fill="F8F8FA"/>
        </w:rPr>
        <w:t>Postes_Salle_Info</w:t>
      </w:r>
      <w:proofErr w:type="spellEnd"/>
      <w:r>
        <w:rPr>
          <w:rFonts w:eastAsia="Georgia" w:hAnsi="Georgia" w:cs="Georgia"/>
          <w:color w:val="000000"/>
        </w:rPr>
        <w:t xml:space="preserve"> : GPO pour imposer un fond d'écran ou des paramètres communs aux postes.</w:t>
      </w:r>
    </w:p>
    <w:p w14:paraId="372AC6DB" w14:textId="2FC9B3CD" w:rsidR="00867184" w:rsidRDefault="00000000">
      <w:pPr>
        <w:spacing w:after="210" w:line="360" w:lineRule="auto"/>
      </w:pPr>
      <w:r>
        <w:rPr>
          <w:rFonts w:eastAsia="Georgia" w:hAnsi="Georgia" w:cs="Georgia"/>
          <w:color w:val="000000"/>
        </w:rPr>
        <w:t xml:space="preserve">Cette séparation permet d'appliquer des règles différentes selon les usages et les profils des </w:t>
      </w:r>
      <w:proofErr w:type="gramStart"/>
      <w:r>
        <w:rPr>
          <w:rFonts w:eastAsia="Georgia" w:hAnsi="Georgia" w:cs="Georgia"/>
          <w:color w:val="000000"/>
        </w:rPr>
        <w:t>utilisateurs.</w:t>
      </w:r>
      <w:proofErr w:type="gramEnd"/>
    </w:p>
    <w:sectPr w:rsidR="0086718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572A"/>
    <w:multiLevelType w:val="hybridMultilevel"/>
    <w:tmpl w:val="502E47B2"/>
    <w:lvl w:ilvl="0" w:tplc="E9B8D826">
      <w:start w:val="1"/>
      <w:numFmt w:val="bullet"/>
      <w:lvlText w:val=""/>
      <w:lvlJc w:val="left"/>
      <w:pPr>
        <w:tabs>
          <w:tab w:val="num" w:pos="900"/>
        </w:tabs>
        <w:ind w:left="540" w:hanging="360"/>
      </w:pPr>
      <w:rPr>
        <w:rFonts w:ascii="Symbol" w:hAnsi="Symbol" w:hint="default"/>
      </w:rPr>
    </w:lvl>
    <w:lvl w:ilvl="1" w:tplc="BADC20CC">
      <w:numFmt w:val="decimal"/>
      <w:lvlText w:val=""/>
      <w:lvlJc w:val="left"/>
    </w:lvl>
    <w:lvl w:ilvl="2" w:tplc="86CA9E28">
      <w:numFmt w:val="decimal"/>
      <w:lvlText w:val=""/>
      <w:lvlJc w:val="left"/>
    </w:lvl>
    <w:lvl w:ilvl="3" w:tplc="12E4F5F0">
      <w:numFmt w:val="decimal"/>
      <w:lvlText w:val=""/>
      <w:lvlJc w:val="left"/>
    </w:lvl>
    <w:lvl w:ilvl="4" w:tplc="7A9066CC">
      <w:numFmt w:val="decimal"/>
      <w:lvlText w:val=""/>
      <w:lvlJc w:val="left"/>
    </w:lvl>
    <w:lvl w:ilvl="5" w:tplc="09D479AC">
      <w:numFmt w:val="decimal"/>
      <w:lvlText w:val=""/>
      <w:lvlJc w:val="left"/>
    </w:lvl>
    <w:lvl w:ilvl="6" w:tplc="2E586F94">
      <w:numFmt w:val="decimal"/>
      <w:lvlText w:val=""/>
      <w:lvlJc w:val="left"/>
    </w:lvl>
    <w:lvl w:ilvl="7" w:tplc="E092EB08">
      <w:numFmt w:val="decimal"/>
      <w:lvlText w:val=""/>
      <w:lvlJc w:val="left"/>
    </w:lvl>
    <w:lvl w:ilvl="8" w:tplc="2944862A">
      <w:numFmt w:val="decimal"/>
      <w:lvlText w:val=""/>
      <w:lvlJc w:val="left"/>
    </w:lvl>
  </w:abstractNum>
  <w:abstractNum w:abstractNumId="1" w15:restartNumberingAfterBreak="0">
    <w:nsid w:val="31694058"/>
    <w:multiLevelType w:val="hybridMultilevel"/>
    <w:tmpl w:val="B07861EA"/>
    <w:lvl w:ilvl="0" w:tplc="EA0C8222">
      <w:start w:val="1"/>
      <w:numFmt w:val="bullet"/>
      <w:lvlText w:val=""/>
      <w:lvlJc w:val="left"/>
      <w:pPr>
        <w:tabs>
          <w:tab w:val="num" w:pos="900"/>
        </w:tabs>
        <w:ind w:left="540" w:hanging="360"/>
      </w:pPr>
      <w:rPr>
        <w:rFonts w:ascii="Symbol" w:hAnsi="Symbol" w:hint="default"/>
      </w:rPr>
    </w:lvl>
    <w:lvl w:ilvl="1" w:tplc="B8505230">
      <w:numFmt w:val="decimal"/>
      <w:lvlText w:val=""/>
      <w:lvlJc w:val="left"/>
    </w:lvl>
    <w:lvl w:ilvl="2" w:tplc="7046B452">
      <w:numFmt w:val="decimal"/>
      <w:lvlText w:val=""/>
      <w:lvlJc w:val="left"/>
    </w:lvl>
    <w:lvl w:ilvl="3" w:tplc="34AC25DC">
      <w:numFmt w:val="decimal"/>
      <w:lvlText w:val=""/>
      <w:lvlJc w:val="left"/>
    </w:lvl>
    <w:lvl w:ilvl="4" w:tplc="ECB81210">
      <w:numFmt w:val="decimal"/>
      <w:lvlText w:val=""/>
      <w:lvlJc w:val="left"/>
    </w:lvl>
    <w:lvl w:ilvl="5" w:tplc="6C1A7E5E">
      <w:numFmt w:val="decimal"/>
      <w:lvlText w:val=""/>
      <w:lvlJc w:val="left"/>
    </w:lvl>
    <w:lvl w:ilvl="6" w:tplc="7D76B5F0">
      <w:numFmt w:val="decimal"/>
      <w:lvlText w:val=""/>
      <w:lvlJc w:val="left"/>
    </w:lvl>
    <w:lvl w:ilvl="7" w:tplc="499AECD0">
      <w:numFmt w:val="decimal"/>
      <w:lvlText w:val=""/>
      <w:lvlJc w:val="left"/>
    </w:lvl>
    <w:lvl w:ilvl="8" w:tplc="6B24C344">
      <w:numFmt w:val="decimal"/>
      <w:lvlText w:val=""/>
      <w:lvlJc w:val="left"/>
    </w:lvl>
  </w:abstractNum>
  <w:abstractNum w:abstractNumId="2" w15:restartNumberingAfterBreak="0">
    <w:nsid w:val="395701C5"/>
    <w:multiLevelType w:val="hybridMultilevel"/>
    <w:tmpl w:val="1A42BF66"/>
    <w:lvl w:ilvl="0" w:tplc="3AD6781C">
      <w:start w:val="1"/>
      <w:numFmt w:val="bullet"/>
      <w:lvlText w:val=""/>
      <w:lvlJc w:val="left"/>
      <w:pPr>
        <w:tabs>
          <w:tab w:val="num" w:pos="900"/>
        </w:tabs>
        <w:ind w:left="540" w:hanging="360"/>
      </w:pPr>
      <w:rPr>
        <w:rFonts w:ascii="Symbol" w:hAnsi="Symbol" w:hint="default"/>
      </w:rPr>
    </w:lvl>
    <w:lvl w:ilvl="1" w:tplc="3D9E4DDC">
      <w:numFmt w:val="decimal"/>
      <w:lvlText w:val=""/>
      <w:lvlJc w:val="left"/>
    </w:lvl>
    <w:lvl w:ilvl="2" w:tplc="6A526566">
      <w:numFmt w:val="decimal"/>
      <w:lvlText w:val=""/>
      <w:lvlJc w:val="left"/>
    </w:lvl>
    <w:lvl w:ilvl="3" w:tplc="6212D7FE">
      <w:numFmt w:val="decimal"/>
      <w:lvlText w:val=""/>
      <w:lvlJc w:val="left"/>
    </w:lvl>
    <w:lvl w:ilvl="4" w:tplc="B296DA18">
      <w:numFmt w:val="decimal"/>
      <w:lvlText w:val=""/>
      <w:lvlJc w:val="left"/>
    </w:lvl>
    <w:lvl w:ilvl="5" w:tplc="75B4E940">
      <w:numFmt w:val="decimal"/>
      <w:lvlText w:val=""/>
      <w:lvlJc w:val="left"/>
    </w:lvl>
    <w:lvl w:ilvl="6" w:tplc="D994A6EE">
      <w:numFmt w:val="decimal"/>
      <w:lvlText w:val=""/>
      <w:lvlJc w:val="left"/>
    </w:lvl>
    <w:lvl w:ilvl="7" w:tplc="6338BFFA">
      <w:numFmt w:val="decimal"/>
      <w:lvlText w:val=""/>
      <w:lvlJc w:val="left"/>
    </w:lvl>
    <w:lvl w:ilvl="8" w:tplc="51B6478E">
      <w:numFmt w:val="decimal"/>
      <w:lvlText w:val=""/>
      <w:lvlJc w:val="left"/>
    </w:lvl>
  </w:abstractNum>
  <w:num w:numId="1" w16cid:durableId="420758800">
    <w:abstractNumId w:val="1"/>
  </w:num>
  <w:num w:numId="2" w16cid:durableId="2053189453">
    <w:abstractNumId w:val="2"/>
  </w:num>
  <w:num w:numId="3" w16cid:durableId="62442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184"/>
    <w:rsid w:val="001460FF"/>
    <w:rsid w:val="00867184"/>
    <w:rsid w:val="008F63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130A"/>
  <w15:docId w15:val="{E601A033-DEDF-491F-9D43-63F7E014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754</Words>
  <Characters>4147</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Dany LIN</cp:lastModifiedBy>
  <cp:revision>2</cp:revision>
  <dcterms:created xsi:type="dcterms:W3CDTF">2026-05-12T17:54:00Z</dcterms:created>
  <dcterms:modified xsi:type="dcterms:W3CDTF">2026-05-12T21:33:00Z</dcterms:modified>
</cp:coreProperties>
</file>