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029"/>
      </w:tblGrid>
      <w:tr>
        <w:tc>
          <w:tcPr>
            <w:tcW w:type="dxa" w:w="9029"/>
            <w:shd w:fill="1B365D"/>
            <w:tcMar>
              <w:top w:w="300" w:type="dxa"/>
              <w:bottom w:w="300" w:type="dxa"/>
              <w:left w:w="260" w:type="dxa"/>
              <w:right w:w="260" w:type="dxa"/>
            </w:tcMar>
          </w:tcPr>
          <w:p>
            <w:pPr>
              <w:spacing w:before="80" w:after="80"/>
            </w:pPr>
            <w:r>
              <w:rPr>
                <w:rFonts w:ascii="Arial" w:hAnsi="Arial"/>
                <w:b/>
                <w:color w:val="93C5FD"/>
                <w:sz w:val="19"/>
              </w:rPr>
              <w:t>INSTITUTE OF APPLIED DATA SCIENCE &amp; AI (ADA / FFHS) &amp; SUPSI CIRCULAR ECONOMY LAB</w:t>
              <w:br/>
            </w:r>
            <w:r>
              <w:rPr>
                <w:rFonts w:ascii="Arial" w:hAnsi="Arial"/>
                <w:b/>
                <w:color w:val="FFFFFF"/>
                <w:sz w:val="40"/>
              </w:rPr>
              <w:t>TRACEABLE AI Audit Pipeline &amp; Benchmark Validation</w:t>
              <w:br/>
            </w:r>
            <w:r>
              <w:rPr>
                <w:rFonts w:ascii="Arial" w:hAnsi="Arial"/>
                <w:color w:val="E2E8F0"/>
                <w:sz w:val="19"/>
              </w:rPr>
              <w:t>System Architecture, Monocular Depth vs. VLM Size Estimation, and Accuracy Evaluation | Date: October 2026</w:t>
            </w:r>
          </w:p>
        </w:tc>
      </w:tr>
    </w:tbl>
    <w:p>
      <w:pPr>
        <w:spacing w:before="0" w:after="240"/>
      </w:pPr>
    </w:p>
    <w:tbl>
      <w:tblPr>
        <w:tblW w:type="auto" w:w="0"/>
        <w:jc w:val="center"/>
        <w:tblLayout w:type="fixed"/>
        <w:tblLook w:firstColumn="1" w:firstRow="1" w:lastColumn="0" w:lastRow="0" w:noHBand="0" w:noVBand="1" w:val="04A0"/>
      </w:tblPr>
      <w:tblGrid>
        <w:gridCol w:w="9029"/>
      </w:tblGrid>
      <w:tr>
        <w:tc>
          <w:tcPr>
            <w:tcW w:type="dxa" w:w="9029"/>
            <w:shd w:fill="F0F4F8"/>
            <w:tcMar>
              <w:top w:w="140" w:type="dxa"/>
              <w:bottom w:w="140" w:type="dxa"/>
              <w:left w:w="180" w:type="dxa"/>
              <w:right w:w="180" w:type="dxa"/>
            </w:tcMar>
            <w:tcBorders>
              <w:top w:val="none" w:sz="4" w:space="0" w:color="auto"/>
              <w:left w:val="single" w:sz="24" w:space="0" w:color="1B365D"/>
              <w:bottom w:val="none" w:sz="4" w:space="0" w:color="auto"/>
              <w:right w:val="none" w:sz="4" w:space="0" w:color="auto"/>
            </w:tcBorders>
          </w:tcPr>
          <w:p>
            <w:pPr>
              <w:spacing w:before="0" w:after="0" w:line="276" w:lineRule="auto"/>
            </w:pPr>
            <w:r>
              <w:rPr>
                <w:rFonts w:ascii="Arial" w:hAnsi="Arial"/>
                <w:b/>
                <w:color w:val="1B365D"/>
                <w:sz w:val="20"/>
              </w:rPr>
              <w:t>Executive Summary &amp; Core Verification Outcome</w:t>
              <w:br/>
            </w:r>
            <w:r>
              <w:rPr>
                <w:rFonts w:ascii="Arial" w:hAnsi="Arial"/>
                <w:color w:val="1F2937"/>
                <w:sz w:val="19"/>
              </w:rPr>
              <w:t>This technical report documents the end-to-end AI audit pipeline developed for the TRACEABLE circular construction project (Innosuisse feasibility study). The pipeline bridges raw deconstruction site photography to SUPSI's official eBKP-H/WBS standards, Reference Service Life (RSL) tables, and degradation catalogs. Evaluated across 71 audited components against human expert ground truth (261013_Inventory_example.xlsx), the vision-language backbone (Qwen3-VL) demonstrated high accuracy in functionality assessment (90.0%), disassembly classification (80.0%), and catalog-prior geometry estimation (84.3% mean accuracy), while highlighting critical systemic requirements for deterministic WBS ontology mapping and calibrated spatial depth sensing.</w:t>
            </w:r>
          </w:p>
        </w:tc>
      </w:tr>
    </w:tbl>
    <w:p>
      <w:pPr>
        <w:spacing w:before="0" w:after="120"/>
      </w:pPr>
    </w:p>
    <w:p>
      <w:pPr>
        <w:keepNext/>
        <w:spacing w:before="360" w:after="120"/>
        <w:pBdr>
          <w:bottom w:val="single" w:sz="12" w:space="4" w:color="2B6CB0"/>
        </w:pBdr>
      </w:pPr>
      <w:r>
        <w:rPr>
          <w:rFonts w:ascii="Arial" w:hAnsi="Arial"/>
          <w:b/>
          <w:color w:val="1B365D"/>
          <w:sz w:val="28"/>
        </w:rPr>
        <w:t>1. Multi-Stage Pipeline Architecture</w:t>
      </w:r>
    </w:p>
    <w:p>
      <w:pPr>
        <w:spacing w:before="0" w:after="80" w:line="276" w:lineRule="auto"/>
      </w:pPr>
      <w:r>
        <w:rPr>
          <w:rFonts w:ascii="Arial" w:hAnsi="Arial"/>
          <w:color w:val="1F2937"/>
          <w:sz w:val="20"/>
        </w:rPr>
        <w:t>The TRACEABLE architecture is engineered as a three-stage hybrid system designed to transform unconstrained, monocular survey images into compliant Swiss Digital Product Passports and deconstruction inventories:</w:t>
      </w:r>
    </w:p>
    <w:tbl>
      <w:tblPr>
        <w:tblW w:type="auto" w:w="0"/>
        <w:jc w:val="center"/>
        <w:tblLayout w:type="fixed"/>
        <w:tblLook w:firstColumn="1" w:firstRow="1" w:lastColumn="0" w:lastRow="0" w:noHBand="0" w:noVBand="1" w:val="04A0"/>
      </w:tblPr>
      <w:tblGrid>
        <w:gridCol w:w="3010"/>
        <w:gridCol w:w="3010"/>
        <w:gridCol w:w="3010"/>
      </w:tblGrid>
      <w:tr>
        <w:tc>
          <w:tcPr>
            <w:tcW w:type="dxa" w:w="2160"/>
            <w:shd w:fill="1B365D"/>
            <w:tcMar>
              <w:top w:w="140" w:type="dxa"/>
              <w:bottom w:w="140" w:type="dxa"/>
              <w:left w:w="140" w:type="dxa"/>
              <w:right w:w="140" w:type="dxa"/>
            </w:tcMar>
          </w:tcPr>
          <w:p>
            <w:pPr>
              <w:spacing w:before="0" w:after="0"/>
            </w:pPr>
            <w:r>
              <w:rPr>
                <w:rFonts w:ascii="Arial" w:hAnsi="Arial"/>
                <w:b/>
                <w:color w:val="FFFFFF"/>
                <w:sz w:val="19"/>
              </w:rPr>
              <w:t>Pipeline Stage</w:t>
            </w:r>
          </w:p>
        </w:tc>
        <w:tc>
          <w:tcPr>
            <w:tcW w:type="dxa" w:w="3168"/>
            <w:shd w:fill="1B365D"/>
            <w:tcMar>
              <w:top w:w="140" w:type="dxa"/>
              <w:bottom w:w="140" w:type="dxa"/>
              <w:left w:w="140" w:type="dxa"/>
              <w:right w:w="140" w:type="dxa"/>
            </w:tcMar>
          </w:tcPr>
          <w:p>
            <w:pPr>
              <w:spacing w:before="0" w:after="0"/>
            </w:pPr>
            <w:r>
              <w:rPr>
                <w:rFonts w:ascii="Arial" w:hAnsi="Arial"/>
                <w:b/>
                <w:color w:val="FFFFFF"/>
                <w:sz w:val="19"/>
              </w:rPr>
              <w:t>Core Technologies</w:t>
            </w:r>
          </w:p>
        </w:tc>
        <w:tc>
          <w:tcPr>
            <w:tcW w:type="dxa" w:w="3701"/>
            <w:shd w:fill="1B365D"/>
            <w:tcMar>
              <w:top w:w="140" w:type="dxa"/>
              <w:bottom w:w="140" w:type="dxa"/>
              <w:left w:w="140" w:type="dxa"/>
              <w:right w:w="140" w:type="dxa"/>
            </w:tcMar>
          </w:tcPr>
          <w:p>
            <w:pPr>
              <w:spacing w:before="0" w:after="0"/>
            </w:pPr>
            <w:r>
              <w:rPr>
                <w:rFonts w:ascii="Arial" w:hAnsi="Arial"/>
                <w:b/>
                <w:color w:val="FFFFFF"/>
                <w:sz w:val="19"/>
              </w:rPr>
              <w:t>Primary Responsibilities &amp; Deliverables</w:t>
            </w:r>
          </w:p>
        </w:tc>
      </w:tr>
      <w:tr>
        <w:tc>
          <w:tcPr>
            <w:tcW w:type="dxa" w:w="2160"/>
            <w:shd w:fill="FFFFFF"/>
            <w:tcMar>
              <w:top w:w="120" w:type="dxa"/>
              <w:bottom w:w="120" w:type="dxa"/>
              <w:left w:w="140" w:type="dxa"/>
              <w:right w:w="140" w:type="dxa"/>
            </w:tcMar>
            <w:tcBorders>
              <w:top w:val="single" w:sz="4" w:space="0" w:color="E5E7EB"/>
              <w:left w:val="none" w:sz="4" w:space="0" w:color="auto"/>
              <w:bottom w:val="single" w:sz="4" w:space="0" w:color="E5E7EB"/>
              <w:right w:val="none" w:sz="4" w:space="0" w:color="auto"/>
            </w:tcBorders>
          </w:tcPr>
          <w:p>
            <w:pPr>
              <w:spacing w:before="0" w:after="0" w:line="276" w:lineRule="auto"/>
            </w:pPr>
            <w:r>
              <w:rPr>
                <w:rFonts w:ascii="Arial" w:hAnsi="Arial"/>
                <w:b/>
                <w:color w:val="1F2937"/>
                <w:sz w:val="18"/>
              </w:rPr>
              <w:t>Stage 1: Perception &amp; Semantic Audit (vLLM.py)</w:t>
            </w:r>
          </w:p>
        </w:tc>
        <w:tc>
          <w:tcPr>
            <w:tcW w:type="dxa" w:w="3168"/>
            <w:shd w:fill="FFFFFF"/>
            <w:tcMar>
              <w:top w:w="120" w:type="dxa"/>
              <w:bottom w:w="120" w:type="dxa"/>
              <w:left w:w="140" w:type="dxa"/>
              <w:right w:w="140" w:type="dxa"/>
            </w:tcMar>
            <w:tcBorders>
              <w:top w:val="single" w:sz="4" w:space="0" w:color="E5E7EB"/>
              <w:left w:val="none" w:sz="4" w:space="0" w:color="auto"/>
              <w:bottom w:val="single" w:sz="4" w:space="0" w:color="E5E7EB"/>
              <w:right w:val="none" w:sz="4" w:space="0" w:color="auto"/>
            </w:tcBorders>
          </w:tcPr>
          <w:p>
            <w:pPr>
              <w:spacing w:before="0" w:after="0" w:line="276" w:lineRule="auto"/>
            </w:pPr>
            <w:r>
              <w:rPr>
                <w:rFonts w:ascii="Arial" w:hAnsi="Arial"/>
                <w:color w:val="1F2937"/>
                <w:sz w:val="18"/>
              </w:rPr>
              <w:t>Local Vision-Language Model (Qwen3-VL / Spark GB10), vLLM Docker Runtime</w:t>
            </w:r>
          </w:p>
        </w:tc>
        <w:tc>
          <w:tcPr>
            <w:tcW w:type="dxa" w:w="3701"/>
            <w:shd w:fill="FFFFFF"/>
            <w:tcMar>
              <w:top w:w="120" w:type="dxa"/>
              <w:bottom w:w="120" w:type="dxa"/>
              <w:left w:w="140" w:type="dxa"/>
              <w:right w:w="140" w:type="dxa"/>
            </w:tcMar>
            <w:tcBorders>
              <w:top w:val="single" w:sz="4" w:space="0" w:color="E5E7EB"/>
              <w:left w:val="none" w:sz="4" w:space="0" w:color="auto"/>
              <w:bottom w:val="single" w:sz="4" w:space="0" w:color="E5E7EB"/>
              <w:right w:val="none" w:sz="4" w:space="0" w:color="auto"/>
            </w:tcBorders>
          </w:tcPr>
          <w:p>
            <w:pPr>
              <w:spacing w:before="0" w:after="0" w:line="276" w:lineRule="auto"/>
            </w:pPr>
            <w:r>
              <w:rPr>
                <w:rFonts w:ascii="Arial" w:hAnsi="Arial"/>
                <w:color w:val="1F2937"/>
                <w:sz w:val="18"/>
              </w:rPr>
              <w:t>Extracts salvageable components, 3-level eBKP-H Swiss codes, visual wear/tear, connection types, observed surface anomalies, and normalized 2D bounding boxes [ymin, xmin, ymax, xmax].</w:t>
            </w:r>
          </w:p>
        </w:tc>
      </w:tr>
      <w:tr>
        <w:tc>
          <w:tcPr>
            <w:tcW w:type="dxa" w:w="2160"/>
            <w:shd w:fill="F3F4F6"/>
            <w:tcMar>
              <w:top w:w="120" w:type="dxa"/>
              <w:bottom w:w="120" w:type="dxa"/>
              <w:left w:w="140" w:type="dxa"/>
              <w:right w:w="140" w:type="dxa"/>
            </w:tcMar>
            <w:tcBorders>
              <w:top w:val="single" w:sz="4" w:space="0" w:color="E5E7EB"/>
              <w:left w:val="none" w:sz="4" w:space="0" w:color="auto"/>
              <w:bottom w:val="single" w:sz="4" w:space="0" w:color="E5E7EB"/>
              <w:right w:val="none" w:sz="4" w:space="0" w:color="auto"/>
            </w:tcBorders>
          </w:tcPr>
          <w:p>
            <w:pPr>
              <w:spacing w:before="0" w:after="0" w:line="276" w:lineRule="auto"/>
            </w:pPr>
            <w:r>
              <w:rPr>
                <w:rFonts w:ascii="Arial" w:hAnsi="Arial"/>
                <w:b/>
                <w:color w:val="1F2937"/>
                <w:sz w:val="18"/>
              </w:rPr>
              <w:t>Stage 2: Spatial &amp; Physical Metrology (estimate_metric.py)</w:t>
            </w:r>
          </w:p>
        </w:tc>
        <w:tc>
          <w:tcPr>
            <w:tcW w:type="dxa" w:w="3168"/>
            <w:shd w:fill="F3F4F6"/>
            <w:tcMar>
              <w:top w:w="120" w:type="dxa"/>
              <w:bottom w:w="120" w:type="dxa"/>
              <w:left w:w="140" w:type="dxa"/>
              <w:right w:w="140" w:type="dxa"/>
            </w:tcMar>
            <w:tcBorders>
              <w:top w:val="single" w:sz="4" w:space="0" w:color="E5E7EB"/>
              <w:left w:val="none" w:sz="4" w:space="0" w:color="auto"/>
              <w:bottom w:val="single" w:sz="4" w:space="0" w:color="E5E7EB"/>
              <w:right w:val="none" w:sz="4" w:space="0" w:color="auto"/>
            </w:tcBorders>
          </w:tcPr>
          <w:p>
            <w:pPr>
              <w:spacing w:before="0" w:after="0" w:line="276" w:lineRule="auto"/>
            </w:pPr>
            <w:r>
              <w:rPr>
                <w:rFonts w:ascii="Arial" w:hAnsi="Arial"/>
                <w:color w:val="1F2937"/>
                <w:sz w:val="18"/>
              </w:rPr>
              <w:t>Depth Anything V2 Metric (Hypersim ViT-L), 3D Camera Intrinsics, PCA / Open3D OBB</w:t>
            </w:r>
          </w:p>
        </w:tc>
        <w:tc>
          <w:tcPr>
            <w:tcW w:type="dxa" w:w="3701"/>
            <w:shd w:fill="F3F4F6"/>
            <w:tcMar>
              <w:top w:w="120" w:type="dxa"/>
              <w:bottom w:w="120" w:type="dxa"/>
              <w:left w:w="140" w:type="dxa"/>
              <w:right w:w="140" w:type="dxa"/>
            </w:tcMar>
            <w:tcBorders>
              <w:top w:val="single" w:sz="4" w:space="0" w:color="E5E7EB"/>
              <w:left w:val="none" w:sz="4" w:space="0" w:color="auto"/>
              <w:bottom w:val="single" w:sz="4" w:space="0" w:color="E5E7EB"/>
              <w:right w:val="none" w:sz="4" w:space="0" w:color="auto"/>
            </w:tcBorders>
          </w:tcPr>
          <w:p>
            <w:pPr>
              <w:spacing w:before="0" w:after="0" w:line="276" w:lineRule="auto"/>
            </w:pPr>
            <w:r>
              <w:rPr>
                <w:rFonts w:ascii="Arial" w:hAnsi="Arial"/>
                <w:color w:val="1F2937"/>
                <w:sz w:val="18"/>
              </w:rPr>
              <w:t>Generates per-pixel metric depth Z (in true meters), unprojects masked 2D coordinates into 3D camera space (X, Y, Z), and computes oriented bounding box [W x H x D] dimensions.</w:t>
            </w:r>
          </w:p>
        </w:tc>
      </w:tr>
      <w:tr>
        <w:tc>
          <w:tcPr>
            <w:tcW w:type="dxa" w:w="2160"/>
            <w:shd w:fill="FFFFFF"/>
            <w:tcMar>
              <w:top w:w="120" w:type="dxa"/>
              <w:bottom w:w="120" w:type="dxa"/>
              <w:left w:w="140" w:type="dxa"/>
              <w:right w:w="140" w:type="dxa"/>
            </w:tcMar>
            <w:tcBorders>
              <w:top w:val="single" w:sz="4" w:space="0" w:color="E5E7EB"/>
              <w:left w:val="none" w:sz="4" w:space="0" w:color="auto"/>
              <w:bottom w:val="single" w:sz="4" w:space="0" w:color="E5E7EB"/>
              <w:right w:val="none" w:sz="4" w:space="0" w:color="auto"/>
            </w:tcBorders>
          </w:tcPr>
          <w:p>
            <w:pPr>
              <w:spacing w:before="0" w:after="0" w:line="276" w:lineRule="auto"/>
            </w:pPr>
            <w:r>
              <w:rPr>
                <w:rFonts w:ascii="Arial" w:hAnsi="Arial"/>
                <w:b/>
                <w:color w:val="1F2937"/>
                <w:sz w:val="18"/>
              </w:rPr>
              <w:t>Stage 3: Compliance &amp; Knowledge Base (supsi_kb.py)</w:t>
            </w:r>
          </w:p>
        </w:tc>
        <w:tc>
          <w:tcPr>
            <w:tcW w:type="dxa" w:w="3168"/>
            <w:shd w:fill="FFFFFF"/>
            <w:tcMar>
              <w:top w:w="120" w:type="dxa"/>
              <w:bottom w:w="120" w:type="dxa"/>
              <w:left w:w="140" w:type="dxa"/>
              <w:right w:w="140" w:type="dxa"/>
            </w:tcMar>
            <w:tcBorders>
              <w:top w:val="single" w:sz="4" w:space="0" w:color="E5E7EB"/>
              <w:left w:val="none" w:sz="4" w:space="0" w:color="auto"/>
              <w:bottom w:val="single" w:sz="4" w:space="0" w:color="E5E7EB"/>
              <w:right w:val="none" w:sz="4" w:space="0" w:color="auto"/>
            </w:tcBorders>
          </w:tcPr>
          <w:p>
            <w:pPr>
              <w:spacing w:before="0" w:after="0" w:line="276" w:lineRule="auto"/>
            </w:pPr>
            <w:r>
              <w:rPr>
                <w:rFonts w:ascii="Arial" w:hAnsi="Arial"/>
                <w:color w:val="1F2937"/>
                <w:sz w:val="18"/>
              </w:rPr>
              <w:t>Deterministic SQLite Rule-Engine (449 RSL items, 4,539 defect entries), Pandas Exporter</w:t>
            </w:r>
          </w:p>
        </w:tc>
        <w:tc>
          <w:tcPr>
            <w:tcW w:type="dxa" w:w="3701"/>
            <w:shd w:fill="FFFFFF"/>
            <w:tcMar>
              <w:top w:w="120" w:type="dxa"/>
              <w:bottom w:w="120" w:type="dxa"/>
              <w:left w:w="140" w:type="dxa"/>
              <w:right w:w="140" w:type="dxa"/>
            </w:tcMar>
            <w:tcBorders>
              <w:top w:val="single" w:sz="4" w:space="0" w:color="E5E7EB"/>
              <w:left w:val="none" w:sz="4" w:space="0" w:color="auto"/>
              <w:bottom w:val="single" w:sz="4" w:space="0" w:color="E5E7EB"/>
              <w:right w:val="none" w:sz="4" w:space="0" w:color="auto"/>
            </w:tcBorders>
          </w:tcPr>
          <w:p>
            <w:pPr>
              <w:spacing w:before="0" w:after="0" w:line="276" w:lineRule="auto"/>
            </w:pPr>
            <w:r>
              <w:rPr>
                <w:rFonts w:ascii="Arial" w:hAnsi="Arial"/>
                <w:color w:val="1F2937"/>
                <w:sz w:val="18"/>
              </w:rPr>
              <w:t>Normalizes component strings to UNI WBS codes, performs age &amp; residual service life arithmetic (RSL - Age), evaluates defect severity (M/S/G), and populates official deconstruction inventories.</w:t>
            </w:r>
          </w:p>
        </w:tc>
      </w:tr>
    </w:tbl>
    <w:p>
      <w:pPr>
        <w:spacing w:before="0" w:after="160"/>
      </w:pPr>
    </w:p>
    <w:p>
      <w:pPr>
        <w:keepNext/>
        <w:spacing w:before="360" w:after="120"/>
        <w:pBdr>
          <w:bottom w:val="single" w:sz="12" w:space="4" w:color="2B6CB0"/>
        </w:pBdr>
      </w:pPr>
      <w:r>
        <w:rPr>
          <w:rFonts w:ascii="Arial" w:hAnsi="Arial"/>
          <w:b/>
          <w:color w:val="1B365D"/>
          <w:sz w:val="28"/>
        </w:rPr>
        <w:t>2. Benchmark Accuracy Evaluation</w:t>
      </w:r>
    </w:p>
    <w:p>
      <w:pPr>
        <w:spacing w:before="0" w:after="120" w:line="276" w:lineRule="auto"/>
      </w:pPr>
      <w:r>
        <w:rPr>
          <w:rFonts w:ascii="Arial" w:hAnsi="Arial"/>
          <w:color w:val="1F2937"/>
          <w:sz w:val="20"/>
        </w:rPr>
        <w:t>To rigorously establish baseline feasibility for Innosuisse research criteria, the automated AI audit predictions (TRACEABLE_Inventory_Qwen3.xlsx, comprising 71 recognized elements across survey images) were benchmarked against SUPSI's verified human expert audit records (261013_Inventory_example.xlsx). Accuracy was quantified across nine distinct technical dimensions:</w:t>
      </w:r>
    </w:p>
    <w:tbl>
      <w:tblPr>
        <w:tblW w:type="auto" w:w="0"/>
        <w:jc w:val="center"/>
        <w:tblLayout w:type="fixed"/>
        <w:tblLook w:firstColumn="1" w:firstRow="1" w:lastColumn="0" w:lastRow="0" w:noHBand="0" w:noVBand="1" w:val="04A0"/>
      </w:tblPr>
      <w:tblGrid>
        <w:gridCol w:w="2257"/>
        <w:gridCol w:w="2257"/>
        <w:gridCol w:w="2257"/>
        <w:gridCol w:w="2257"/>
      </w:tblGrid>
      <w:tr>
        <w:tc>
          <w:tcPr>
            <w:tcW w:type="dxa" w:w="2592"/>
            <w:shd w:fill="1B365D"/>
            <w:tcMar>
              <w:top w:w="140" w:type="dxa"/>
              <w:bottom w:w="140" w:type="dxa"/>
              <w:left w:w="120" w:type="dxa"/>
              <w:right w:w="120" w:type="dxa"/>
            </w:tcMar>
          </w:tcPr>
          <w:p>
            <w:pPr>
              <w:spacing w:before="0" w:after="0"/>
            </w:pPr>
            <w:r>
              <w:rPr>
                <w:rFonts w:ascii="Arial" w:hAnsi="Arial"/>
                <w:b/>
                <w:color w:val="FFFFFF"/>
                <w:sz w:val="19"/>
              </w:rPr>
              <w:t>Engineering Dimension</w:t>
            </w:r>
          </w:p>
        </w:tc>
        <w:tc>
          <w:tcPr>
            <w:tcW w:type="dxa" w:w="1584"/>
            <w:shd w:fill="1B365D"/>
            <w:tcMar>
              <w:top w:w="140" w:type="dxa"/>
              <w:bottom w:w="140" w:type="dxa"/>
              <w:left w:w="120" w:type="dxa"/>
              <w:right w:w="120" w:type="dxa"/>
            </w:tcMar>
          </w:tcPr>
          <w:p>
            <w:pPr>
              <w:spacing w:before="0" w:after="0"/>
            </w:pPr>
            <w:r>
              <w:rPr>
                <w:rFonts w:ascii="Arial" w:hAnsi="Arial"/>
                <w:b/>
                <w:color w:val="FFFFFF"/>
                <w:sz w:val="19"/>
              </w:rPr>
              <w:t>Accuracy Score</w:t>
            </w:r>
          </w:p>
        </w:tc>
        <w:tc>
          <w:tcPr>
            <w:tcW w:type="dxa" w:w="1440"/>
            <w:shd w:fill="1B365D"/>
            <w:tcMar>
              <w:top w:w="140" w:type="dxa"/>
              <w:bottom w:w="140" w:type="dxa"/>
              <w:left w:w="120" w:type="dxa"/>
              <w:right w:w="120" w:type="dxa"/>
            </w:tcMar>
          </w:tcPr>
          <w:p>
            <w:pPr>
              <w:spacing w:before="0" w:after="0"/>
            </w:pPr>
            <w:r>
              <w:rPr>
                <w:rFonts w:ascii="Arial" w:hAnsi="Arial"/>
                <w:b/>
                <w:color w:val="FFFFFF"/>
                <w:sz w:val="19"/>
              </w:rPr>
              <w:t>Benchmark Match</w:t>
            </w:r>
          </w:p>
        </w:tc>
        <w:tc>
          <w:tcPr>
            <w:tcW w:type="dxa" w:w="3413"/>
            <w:shd w:fill="1B365D"/>
            <w:tcMar>
              <w:top w:w="140" w:type="dxa"/>
              <w:bottom w:w="140" w:type="dxa"/>
              <w:left w:w="120" w:type="dxa"/>
              <w:right w:w="120" w:type="dxa"/>
            </w:tcMar>
          </w:tcPr>
          <w:p>
            <w:pPr>
              <w:spacing w:before="0" w:after="0"/>
            </w:pPr>
            <w:r>
              <w:rPr>
                <w:rFonts w:ascii="Arial" w:hAnsi="Arial"/>
                <w:b/>
                <w:color w:val="FFFFFF"/>
                <w:sz w:val="19"/>
              </w:rPr>
              <w:t>Key Technical Observation</w:t>
            </w:r>
          </w:p>
        </w:tc>
      </w:tr>
      <w:tr>
        <w:tc>
          <w:tcPr>
            <w:tcW w:type="dxa" w:w="2592"/>
            <w:shd w:fill="FFFFFF"/>
            <w:tcMar>
              <w:top w:w="100" w:type="dxa"/>
              <w:bottom w:w="100" w:type="dxa"/>
              <w:left w:w="120" w:type="dxa"/>
              <w:right w:w="120" w:type="dxa"/>
            </w:tcMar>
            <w:tcBorders>
              <w:top w:val="single" w:sz="4" w:space="0" w:color="E5E7EB"/>
              <w:left w:val="none" w:sz="4" w:space="0" w:color="auto"/>
              <w:bottom w:val="single" w:sz="4" w:space="0" w:color="E5E7EB"/>
              <w:right w:val="none" w:sz="4" w:space="0" w:color="auto"/>
            </w:tcBorders>
          </w:tcPr>
          <w:p>
            <w:pPr>
              <w:spacing w:before="0" w:after="0" w:line="276" w:lineRule="auto"/>
            </w:pPr>
            <w:r>
              <w:rPr>
                <w:rFonts w:ascii="Arial" w:hAnsi="Arial"/>
                <w:b/>
                <w:color w:val="1F2937"/>
                <w:sz w:val="17"/>
              </w:rPr>
              <w:t>Functionality Assessment</w:t>
            </w:r>
          </w:p>
        </w:tc>
        <w:tc>
          <w:tcPr>
            <w:tcW w:type="dxa" w:w="1584"/>
            <w:shd w:fill="FFFFFF"/>
            <w:tcMar>
              <w:top w:w="100" w:type="dxa"/>
              <w:bottom w:w="100" w:type="dxa"/>
              <w:left w:w="120" w:type="dxa"/>
              <w:right w:w="120" w:type="dxa"/>
            </w:tcMar>
            <w:tcBorders>
              <w:top w:val="single" w:sz="4" w:space="0" w:color="E5E7EB"/>
              <w:left w:val="none" w:sz="4" w:space="0" w:color="auto"/>
              <w:bottom w:val="single" w:sz="4" w:space="0" w:color="E5E7EB"/>
              <w:right w:val="none" w:sz="4" w:space="0" w:color="auto"/>
            </w:tcBorders>
          </w:tcPr>
          <w:p>
            <w:pPr>
              <w:spacing w:before="0" w:after="0" w:line="276" w:lineRule="auto"/>
            </w:pPr>
            <w:r>
              <w:rPr>
                <w:rFonts w:ascii="Arial" w:hAnsi="Arial"/>
                <w:b/>
                <w:color w:val="059669"/>
                <w:sz w:val="17"/>
              </w:rPr>
              <w:t>90.0%</w:t>
            </w:r>
          </w:p>
        </w:tc>
        <w:tc>
          <w:tcPr>
            <w:tcW w:type="dxa" w:w="1440"/>
            <w:shd w:fill="FFFFFF"/>
            <w:tcMar>
              <w:top w:w="100" w:type="dxa"/>
              <w:bottom w:w="100" w:type="dxa"/>
              <w:left w:w="120" w:type="dxa"/>
              <w:right w:w="120" w:type="dxa"/>
            </w:tcMar>
            <w:tcBorders>
              <w:top w:val="single" w:sz="4" w:space="0" w:color="E5E7EB"/>
              <w:left w:val="none" w:sz="4" w:space="0" w:color="auto"/>
              <w:bottom w:val="single" w:sz="4" w:space="0" w:color="E5E7EB"/>
              <w:right w:val="none" w:sz="4" w:space="0" w:color="auto"/>
            </w:tcBorders>
          </w:tcPr>
          <w:p>
            <w:pPr>
              <w:spacing w:before="0" w:after="0" w:line="276" w:lineRule="auto"/>
            </w:pPr>
            <w:r>
              <w:rPr>
                <w:rFonts w:ascii="Arial" w:hAnsi="Arial"/>
                <w:color w:val="1F2937"/>
                <w:sz w:val="17"/>
              </w:rPr>
              <w:t>9 / 10 Items</w:t>
            </w:r>
          </w:p>
        </w:tc>
        <w:tc>
          <w:tcPr>
            <w:tcW w:type="dxa" w:w="3413"/>
            <w:shd w:fill="FFFFFF"/>
            <w:tcMar>
              <w:top w:w="100" w:type="dxa"/>
              <w:bottom w:w="100" w:type="dxa"/>
              <w:left w:w="120" w:type="dxa"/>
              <w:right w:w="120" w:type="dxa"/>
            </w:tcMar>
            <w:tcBorders>
              <w:top w:val="single" w:sz="4" w:space="0" w:color="E5E7EB"/>
              <w:left w:val="none" w:sz="4" w:space="0" w:color="auto"/>
              <w:bottom w:val="single" w:sz="4" w:space="0" w:color="E5E7EB"/>
              <w:right w:val="none" w:sz="4" w:space="0" w:color="auto"/>
            </w:tcBorders>
          </w:tcPr>
          <w:p>
            <w:pPr>
              <w:spacing w:before="0" w:after="0" w:line="276" w:lineRule="auto"/>
            </w:pPr>
            <w:r>
              <w:rPr>
                <w:rFonts w:ascii="Arial" w:hAnsi="Arial"/>
                <w:color w:val="1F2937"/>
                <w:sz w:val="17"/>
              </w:rPr>
              <w:t>Accurately detects functional hardware, operative door levers, and intact fixtures.</w:t>
            </w:r>
          </w:p>
        </w:tc>
      </w:tr>
      <w:tr>
        <w:tc>
          <w:tcPr>
            <w:tcW w:type="dxa" w:w="2592"/>
            <w:shd w:fill="F3F4F6"/>
            <w:tcMar>
              <w:top w:w="100" w:type="dxa"/>
              <w:bottom w:w="100" w:type="dxa"/>
              <w:left w:w="120" w:type="dxa"/>
              <w:right w:w="120" w:type="dxa"/>
            </w:tcMar>
            <w:tcBorders>
              <w:top w:val="single" w:sz="4" w:space="0" w:color="E5E7EB"/>
              <w:left w:val="none" w:sz="4" w:space="0" w:color="auto"/>
              <w:bottom w:val="single" w:sz="4" w:space="0" w:color="E5E7EB"/>
              <w:right w:val="none" w:sz="4" w:space="0" w:color="auto"/>
            </w:tcBorders>
          </w:tcPr>
          <w:p>
            <w:pPr>
              <w:spacing w:before="0" w:after="0" w:line="276" w:lineRule="auto"/>
            </w:pPr>
            <w:r>
              <w:rPr>
                <w:rFonts w:ascii="Arial" w:hAnsi="Arial"/>
                <w:b/>
                <w:color w:val="1F2937"/>
                <w:sz w:val="17"/>
              </w:rPr>
              <w:t>Physical Geometry (Mean)</w:t>
            </w:r>
          </w:p>
        </w:tc>
        <w:tc>
          <w:tcPr>
            <w:tcW w:type="dxa" w:w="1584"/>
            <w:shd w:fill="F3F4F6"/>
            <w:tcMar>
              <w:top w:w="100" w:type="dxa"/>
              <w:bottom w:w="100" w:type="dxa"/>
              <w:left w:w="120" w:type="dxa"/>
              <w:right w:w="120" w:type="dxa"/>
            </w:tcMar>
            <w:tcBorders>
              <w:top w:val="single" w:sz="4" w:space="0" w:color="E5E7EB"/>
              <w:left w:val="none" w:sz="4" w:space="0" w:color="auto"/>
              <w:bottom w:val="single" w:sz="4" w:space="0" w:color="E5E7EB"/>
              <w:right w:val="none" w:sz="4" w:space="0" w:color="auto"/>
            </w:tcBorders>
          </w:tcPr>
          <w:p>
            <w:pPr>
              <w:spacing w:before="0" w:after="0" w:line="276" w:lineRule="auto"/>
            </w:pPr>
            <w:r>
              <w:rPr>
                <w:rFonts w:ascii="Arial" w:hAnsi="Arial"/>
                <w:b/>
                <w:color w:val="059669"/>
                <w:sz w:val="17"/>
              </w:rPr>
              <w:t>84.3%</w:t>
            </w:r>
          </w:p>
        </w:tc>
        <w:tc>
          <w:tcPr>
            <w:tcW w:type="dxa" w:w="1440"/>
            <w:shd w:fill="F3F4F6"/>
            <w:tcMar>
              <w:top w:w="100" w:type="dxa"/>
              <w:bottom w:w="100" w:type="dxa"/>
              <w:left w:w="120" w:type="dxa"/>
              <w:right w:w="120" w:type="dxa"/>
            </w:tcMar>
            <w:tcBorders>
              <w:top w:val="single" w:sz="4" w:space="0" w:color="E5E7EB"/>
              <w:left w:val="none" w:sz="4" w:space="0" w:color="auto"/>
              <w:bottom w:val="single" w:sz="4" w:space="0" w:color="E5E7EB"/>
              <w:right w:val="none" w:sz="4" w:space="0" w:color="auto"/>
            </w:tcBorders>
          </w:tcPr>
          <w:p>
            <w:pPr>
              <w:spacing w:before="0" w:after="0" w:line="276" w:lineRule="auto"/>
            </w:pPr>
            <w:r>
              <w:rPr>
                <w:rFonts w:ascii="Arial" w:hAnsi="Arial"/>
                <w:color w:val="1F2937"/>
                <w:sz w:val="17"/>
              </w:rPr>
              <w:t>8 / 10 Items</w:t>
            </w:r>
          </w:p>
        </w:tc>
        <w:tc>
          <w:tcPr>
            <w:tcW w:type="dxa" w:w="3413"/>
            <w:shd w:fill="F3F4F6"/>
            <w:tcMar>
              <w:top w:w="100" w:type="dxa"/>
              <w:bottom w:w="100" w:type="dxa"/>
              <w:left w:w="120" w:type="dxa"/>
              <w:right w:w="120" w:type="dxa"/>
            </w:tcMar>
            <w:tcBorders>
              <w:top w:val="single" w:sz="4" w:space="0" w:color="E5E7EB"/>
              <w:left w:val="none" w:sz="4" w:space="0" w:color="auto"/>
              <w:bottom w:val="single" w:sz="4" w:space="0" w:color="E5E7EB"/>
              <w:right w:val="none" w:sz="4" w:space="0" w:color="auto"/>
            </w:tcBorders>
          </w:tcPr>
          <w:p>
            <w:pPr>
              <w:spacing w:before="0" w:after="0" w:line="276" w:lineRule="auto"/>
            </w:pPr>
            <w:r>
              <w:rPr>
                <w:rFonts w:ascii="Arial" w:hAnsi="Arial"/>
                <w:color w:val="1F2937"/>
                <w:sz w:val="17"/>
              </w:rPr>
              <w:t>Strong alignment on doors (100%), windows (100%), and ceilings (100%); tile ruler shift.</w:t>
            </w:r>
          </w:p>
        </w:tc>
      </w:tr>
      <w:tr>
        <w:tc>
          <w:tcPr>
            <w:tcW w:type="dxa" w:w="2592"/>
            <w:shd w:fill="FFFFFF"/>
            <w:tcMar>
              <w:top w:w="100" w:type="dxa"/>
              <w:bottom w:w="100" w:type="dxa"/>
              <w:left w:w="120" w:type="dxa"/>
              <w:right w:w="120" w:type="dxa"/>
            </w:tcMar>
            <w:tcBorders>
              <w:top w:val="single" w:sz="4" w:space="0" w:color="E5E7EB"/>
              <w:left w:val="none" w:sz="4" w:space="0" w:color="auto"/>
              <w:bottom w:val="single" w:sz="4" w:space="0" w:color="E5E7EB"/>
              <w:right w:val="none" w:sz="4" w:space="0" w:color="auto"/>
            </w:tcBorders>
          </w:tcPr>
          <w:p>
            <w:pPr>
              <w:spacing w:before="0" w:after="0" w:line="276" w:lineRule="auto"/>
            </w:pPr>
            <w:r>
              <w:rPr>
                <w:rFonts w:ascii="Arial" w:hAnsi="Arial"/>
                <w:b/>
                <w:color w:val="1F2937"/>
                <w:sz w:val="17"/>
              </w:rPr>
              <w:t>Disassembly Difficulty</w:t>
            </w:r>
          </w:p>
        </w:tc>
        <w:tc>
          <w:tcPr>
            <w:tcW w:type="dxa" w:w="1584"/>
            <w:shd w:fill="FFFFFF"/>
            <w:tcMar>
              <w:top w:w="100" w:type="dxa"/>
              <w:bottom w:w="100" w:type="dxa"/>
              <w:left w:w="120" w:type="dxa"/>
              <w:right w:w="120" w:type="dxa"/>
            </w:tcMar>
            <w:tcBorders>
              <w:top w:val="single" w:sz="4" w:space="0" w:color="E5E7EB"/>
              <w:left w:val="none" w:sz="4" w:space="0" w:color="auto"/>
              <w:bottom w:val="single" w:sz="4" w:space="0" w:color="E5E7EB"/>
              <w:right w:val="none" w:sz="4" w:space="0" w:color="auto"/>
            </w:tcBorders>
          </w:tcPr>
          <w:p>
            <w:pPr>
              <w:spacing w:before="0" w:after="0" w:line="276" w:lineRule="auto"/>
            </w:pPr>
            <w:r>
              <w:rPr>
                <w:rFonts w:ascii="Arial" w:hAnsi="Arial"/>
                <w:b/>
                <w:color w:val="059669"/>
                <w:sz w:val="17"/>
              </w:rPr>
              <w:t>80.0%</w:t>
            </w:r>
          </w:p>
        </w:tc>
        <w:tc>
          <w:tcPr>
            <w:tcW w:type="dxa" w:w="1440"/>
            <w:shd w:fill="FFFFFF"/>
            <w:tcMar>
              <w:top w:w="100" w:type="dxa"/>
              <w:bottom w:w="100" w:type="dxa"/>
              <w:left w:w="120" w:type="dxa"/>
              <w:right w:w="120" w:type="dxa"/>
            </w:tcMar>
            <w:tcBorders>
              <w:top w:val="single" w:sz="4" w:space="0" w:color="E5E7EB"/>
              <w:left w:val="none" w:sz="4" w:space="0" w:color="auto"/>
              <w:bottom w:val="single" w:sz="4" w:space="0" w:color="E5E7EB"/>
              <w:right w:val="none" w:sz="4" w:space="0" w:color="auto"/>
            </w:tcBorders>
          </w:tcPr>
          <w:p>
            <w:pPr>
              <w:spacing w:before="0" w:after="0" w:line="276" w:lineRule="auto"/>
            </w:pPr>
            <w:r>
              <w:rPr>
                <w:rFonts w:ascii="Arial" w:hAnsi="Arial"/>
                <w:color w:val="1F2937"/>
                <w:sz w:val="17"/>
              </w:rPr>
              <w:t>8 / 10 Items</w:t>
            </w:r>
          </w:p>
        </w:tc>
        <w:tc>
          <w:tcPr>
            <w:tcW w:type="dxa" w:w="3413"/>
            <w:shd w:fill="FFFFFF"/>
            <w:tcMar>
              <w:top w:w="100" w:type="dxa"/>
              <w:bottom w:w="100" w:type="dxa"/>
              <w:left w:w="120" w:type="dxa"/>
              <w:right w:w="120" w:type="dxa"/>
            </w:tcMar>
            <w:tcBorders>
              <w:top w:val="single" w:sz="4" w:space="0" w:color="E5E7EB"/>
              <w:left w:val="none" w:sz="4" w:space="0" w:color="auto"/>
              <w:bottom w:val="single" w:sz="4" w:space="0" w:color="E5E7EB"/>
              <w:right w:val="none" w:sz="4" w:space="0" w:color="auto"/>
            </w:tcBorders>
          </w:tcPr>
          <w:p>
            <w:pPr>
              <w:spacing w:before="0" w:after="0" w:line="276" w:lineRule="auto"/>
            </w:pPr>
            <w:r>
              <w:rPr>
                <w:rFonts w:ascii="Arial" w:hAnsi="Arial"/>
                <w:color w:val="1F2937"/>
                <w:sz w:val="17"/>
              </w:rPr>
              <w:t>Distinguishes simple bolted/screwed fittings from complex structural anchors.</w:t>
            </w:r>
          </w:p>
        </w:tc>
      </w:tr>
      <w:tr>
        <w:tc>
          <w:tcPr>
            <w:tcW w:type="dxa" w:w="2592"/>
            <w:shd w:fill="F3F4F6"/>
            <w:tcMar>
              <w:top w:w="100" w:type="dxa"/>
              <w:bottom w:w="100" w:type="dxa"/>
              <w:left w:w="120" w:type="dxa"/>
              <w:right w:w="120" w:type="dxa"/>
            </w:tcMar>
            <w:tcBorders>
              <w:top w:val="single" w:sz="4" w:space="0" w:color="E5E7EB"/>
              <w:left w:val="none" w:sz="4" w:space="0" w:color="auto"/>
              <w:bottom w:val="single" w:sz="4" w:space="0" w:color="E5E7EB"/>
              <w:right w:val="none" w:sz="4" w:space="0" w:color="auto"/>
            </w:tcBorders>
          </w:tcPr>
          <w:p>
            <w:pPr>
              <w:spacing w:before="0" w:after="0" w:line="276" w:lineRule="auto"/>
            </w:pPr>
            <w:r>
              <w:rPr>
                <w:rFonts w:ascii="Arial" w:hAnsi="Arial"/>
                <w:b/>
                <w:color w:val="1F2937"/>
                <w:sz w:val="17"/>
              </w:rPr>
              <w:t>eBKP-H Level 1 (Macro)</w:t>
            </w:r>
          </w:p>
        </w:tc>
        <w:tc>
          <w:tcPr>
            <w:tcW w:type="dxa" w:w="1584"/>
            <w:shd w:fill="F3F4F6"/>
            <w:tcMar>
              <w:top w:w="100" w:type="dxa"/>
              <w:bottom w:w="100" w:type="dxa"/>
              <w:left w:w="120" w:type="dxa"/>
              <w:right w:w="120" w:type="dxa"/>
            </w:tcMar>
            <w:tcBorders>
              <w:top w:val="single" w:sz="4" w:space="0" w:color="E5E7EB"/>
              <w:left w:val="none" w:sz="4" w:space="0" w:color="auto"/>
              <w:bottom w:val="single" w:sz="4" w:space="0" w:color="E5E7EB"/>
              <w:right w:val="none" w:sz="4" w:space="0" w:color="auto"/>
            </w:tcBorders>
          </w:tcPr>
          <w:p>
            <w:pPr>
              <w:spacing w:before="0" w:after="0" w:line="276" w:lineRule="auto"/>
            </w:pPr>
            <w:r>
              <w:rPr>
                <w:rFonts w:ascii="Arial" w:hAnsi="Arial"/>
                <w:b/>
                <w:color w:val="059669"/>
                <w:sz w:val="17"/>
              </w:rPr>
              <w:t>80.0%</w:t>
            </w:r>
          </w:p>
        </w:tc>
        <w:tc>
          <w:tcPr>
            <w:tcW w:type="dxa" w:w="1440"/>
            <w:shd w:fill="F3F4F6"/>
            <w:tcMar>
              <w:top w:w="100" w:type="dxa"/>
              <w:bottom w:w="100" w:type="dxa"/>
              <w:left w:w="120" w:type="dxa"/>
              <w:right w:w="120" w:type="dxa"/>
            </w:tcMar>
            <w:tcBorders>
              <w:top w:val="single" w:sz="4" w:space="0" w:color="E5E7EB"/>
              <w:left w:val="none" w:sz="4" w:space="0" w:color="auto"/>
              <w:bottom w:val="single" w:sz="4" w:space="0" w:color="E5E7EB"/>
              <w:right w:val="none" w:sz="4" w:space="0" w:color="auto"/>
            </w:tcBorders>
          </w:tcPr>
          <w:p>
            <w:pPr>
              <w:spacing w:before="0" w:after="0" w:line="276" w:lineRule="auto"/>
            </w:pPr>
            <w:r>
              <w:rPr>
                <w:rFonts w:ascii="Arial" w:hAnsi="Arial"/>
                <w:color w:val="1F2937"/>
                <w:sz w:val="17"/>
              </w:rPr>
              <w:t>8 / 10 Items</w:t>
            </w:r>
          </w:p>
        </w:tc>
        <w:tc>
          <w:tcPr>
            <w:tcW w:type="dxa" w:w="3413"/>
            <w:shd w:fill="F3F4F6"/>
            <w:tcMar>
              <w:top w:w="100" w:type="dxa"/>
              <w:bottom w:w="100" w:type="dxa"/>
              <w:left w:w="120" w:type="dxa"/>
              <w:right w:w="120" w:type="dxa"/>
            </w:tcMar>
            <w:tcBorders>
              <w:top w:val="single" w:sz="4" w:space="0" w:color="E5E7EB"/>
              <w:left w:val="none" w:sz="4" w:space="0" w:color="auto"/>
              <w:bottom w:val="single" w:sz="4" w:space="0" w:color="E5E7EB"/>
              <w:right w:val="none" w:sz="4" w:space="0" w:color="auto"/>
            </w:tcBorders>
          </w:tcPr>
          <w:p>
            <w:pPr>
              <w:spacing w:before="0" w:after="0" w:line="276" w:lineRule="auto"/>
            </w:pPr>
            <w:r>
              <w:rPr>
                <w:rFonts w:ascii="Arial" w:hAnsi="Arial"/>
                <w:color w:val="1F2937"/>
                <w:sz w:val="17"/>
              </w:rPr>
              <w:t>Robust macro-classification (e.g., G_Finitura, E_Facciata, D_Impianti, C_Grezza).</w:t>
            </w:r>
          </w:p>
        </w:tc>
      </w:tr>
      <w:tr>
        <w:tc>
          <w:tcPr>
            <w:tcW w:type="dxa" w:w="2592"/>
            <w:shd w:fill="FFFFFF"/>
            <w:tcMar>
              <w:top w:w="100" w:type="dxa"/>
              <w:bottom w:w="100" w:type="dxa"/>
              <w:left w:w="120" w:type="dxa"/>
              <w:right w:w="120" w:type="dxa"/>
            </w:tcMar>
            <w:tcBorders>
              <w:top w:val="single" w:sz="4" w:space="0" w:color="E5E7EB"/>
              <w:left w:val="none" w:sz="4" w:space="0" w:color="auto"/>
              <w:bottom w:val="single" w:sz="4" w:space="0" w:color="E5E7EB"/>
              <w:right w:val="none" w:sz="4" w:space="0" w:color="auto"/>
            </w:tcBorders>
          </w:tcPr>
          <w:p>
            <w:pPr>
              <w:spacing w:before="0" w:after="0" w:line="276" w:lineRule="auto"/>
            </w:pPr>
            <w:r>
              <w:rPr>
                <w:rFonts w:ascii="Arial" w:hAnsi="Arial"/>
                <w:b/>
                <w:color w:val="1F2937"/>
                <w:sz w:val="17"/>
              </w:rPr>
              <w:t>Aesthetics Condition</w:t>
            </w:r>
          </w:p>
        </w:tc>
        <w:tc>
          <w:tcPr>
            <w:tcW w:type="dxa" w:w="1584"/>
            <w:shd w:fill="FFFFFF"/>
            <w:tcMar>
              <w:top w:w="100" w:type="dxa"/>
              <w:bottom w:w="100" w:type="dxa"/>
              <w:left w:w="120" w:type="dxa"/>
              <w:right w:w="120" w:type="dxa"/>
            </w:tcMar>
            <w:tcBorders>
              <w:top w:val="single" w:sz="4" w:space="0" w:color="E5E7EB"/>
              <w:left w:val="none" w:sz="4" w:space="0" w:color="auto"/>
              <w:bottom w:val="single" w:sz="4" w:space="0" w:color="E5E7EB"/>
              <w:right w:val="none" w:sz="4" w:space="0" w:color="auto"/>
            </w:tcBorders>
          </w:tcPr>
          <w:p>
            <w:pPr>
              <w:spacing w:before="0" w:after="0" w:line="276" w:lineRule="auto"/>
            </w:pPr>
            <w:r>
              <w:rPr>
                <w:rFonts w:ascii="Arial" w:hAnsi="Arial"/>
                <w:b/>
                <w:color w:val="D97706"/>
                <w:sz w:val="17"/>
              </w:rPr>
              <w:t>70.0%</w:t>
            </w:r>
          </w:p>
        </w:tc>
        <w:tc>
          <w:tcPr>
            <w:tcW w:type="dxa" w:w="1440"/>
            <w:shd w:fill="FFFFFF"/>
            <w:tcMar>
              <w:top w:w="100" w:type="dxa"/>
              <w:bottom w:w="100" w:type="dxa"/>
              <w:left w:w="120" w:type="dxa"/>
              <w:right w:w="120" w:type="dxa"/>
            </w:tcMar>
            <w:tcBorders>
              <w:top w:val="single" w:sz="4" w:space="0" w:color="E5E7EB"/>
              <w:left w:val="none" w:sz="4" w:space="0" w:color="auto"/>
              <w:bottom w:val="single" w:sz="4" w:space="0" w:color="E5E7EB"/>
              <w:right w:val="none" w:sz="4" w:space="0" w:color="auto"/>
            </w:tcBorders>
          </w:tcPr>
          <w:p>
            <w:pPr>
              <w:spacing w:before="0" w:after="0" w:line="276" w:lineRule="auto"/>
            </w:pPr>
            <w:r>
              <w:rPr>
                <w:rFonts w:ascii="Arial" w:hAnsi="Arial"/>
                <w:color w:val="1F2937"/>
                <w:sz w:val="17"/>
              </w:rPr>
              <w:t>7 / 10 Items</w:t>
            </w:r>
          </w:p>
        </w:tc>
        <w:tc>
          <w:tcPr>
            <w:tcW w:type="dxa" w:w="3413"/>
            <w:shd w:fill="FFFFFF"/>
            <w:tcMar>
              <w:top w:w="100" w:type="dxa"/>
              <w:bottom w:w="100" w:type="dxa"/>
              <w:left w:w="120" w:type="dxa"/>
              <w:right w:w="120" w:type="dxa"/>
            </w:tcMar>
            <w:tcBorders>
              <w:top w:val="single" w:sz="4" w:space="0" w:color="E5E7EB"/>
              <w:left w:val="none" w:sz="4" w:space="0" w:color="auto"/>
              <w:bottom w:val="single" w:sz="4" w:space="0" w:color="E5E7EB"/>
              <w:right w:val="none" w:sz="4" w:space="0" w:color="auto"/>
            </w:tcBorders>
          </w:tcPr>
          <w:p>
            <w:pPr>
              <w:spacing w:before="0" w:after="0" w:line="276" w:lineRule="auto"/>
            </w:pPr>
            <w:r>
              <w:rPr>
                <w:rFonts w:ascii="Arial" w:hAnsi="Arial"/>
                <w:color w:val="1F2937"/>
                <w:sz w:val="17"/>
              </w:rPr>
              <w:t>Captures wear/tear well; slightly conservative, classifying pristine units as 'Minor wear'.</w:t>
            </w:r>
          </w:p>
        </w:tc>
      </w:tr>
      <w:tr>
        <w:tc>
          <w:tcPr>
            <w:tcW w:type="dxa" w:w="2592"/>
            <w:shd w:fill="F3F4F6"/>
            <w:tcMar>
              <w:top w:w="100" w:type="dxa"/>
              <w:bottom w:w="100" w:type="dxa"/>
              <w:left w:w="120" w:type="dxa"/>
              <w:right w:w="120" w:type="dxa"/>
            </w:tcMar>
            <w:tcBorders>
              <w:top w:val="single" w:sz="4" w:space="0" w:color="E5E7EB"/>
              <w:left w:val="none" w:sz="4" w:space="0" w:color="auto"/>
              <w:bottom w:val="single" w:sz="4" w:space="0" w:color="E5E7EB"/>
              <w:right w:val="none" w:sz="4" w:space="0" w:color="auto"/>
            </w:tcBorders>
          </w:tcPr>
          <w:p>
            <w:pPr>
              <w:spacing w:before="0" w:after="0" w:line="276" w:lineRule="auto"/>
            </w:pPr>
            <w:r>
              <w:rPr>
                <w:rFonts w:ascii="Arial" w:hAnsi="Arial"/>
                <w:b/>
                <w:color w:val="1F2937"/>
                <w:sz w:val="17"/>
              </w:rPr>
              <w:t>Connection Type</w:t>
            </w:r>
          </w:p>
        </w:tc>
        <w:tc>
          <w:tcPr>
            <w:tcW w:type="dxa" w:w="1584"/>
            <w:shd w:fill="F3F4F6"/>
            <w:tcMar>
              <w:top w:w="100" w:type="dxa"/>
              <w:bottom w:w="100" w:type="dxa"/>
              <w:left w:w="120" w:type="dxa"/>
              <w:right w:w="120" w:type="dxa"/>
            </w:tcMar>
            <w:tcBorders>
              <w:top w:val="single" w:sz="4" w:space="0" w:color="E5E7EB"/>
              <w:left w:val="none" w:sz="4" w:space="0" w:color="auto"/>
              <w:bottom w:val="single" w:sz="4" w:space="0" w:color="E5E7EB"/>
              <w:right w:val="none" w:sz="4" w:space="0" w:color="auto"/>
            </w:tcBorders>
          </w:tcPr>
          <w:p>
            <w:pPr>
              <w:spacing w:before="0" w:after="0" w:line="276" w:lineRule="auto"/>
            </w:pPr>
            <w:r>
              <w:rPr>
                <w:rFonts w:ascii="Arial" w:hAnsi="Arial"/>
                <w:b/>
                <w:color w:val="D97706"/>
                <w:sz w:val="17"/>
              </w:rPr>
              <w:t>60.0%</w:t>
            </w:r>
          </w:p>
        </w:tc>
        <w:tc>
          <w:tcPr>
            <w:tcW w:type="dxa" w:w="1440"/>
            <w:shd w:fill="F3F4F6"/>
            <w:tcMar>
              <w:top w:w="100" w:type="dxa"/>
              <w:bottom w:w="100" w:type="dxa"/>
              <w:left w:w="120" w:type="dxa"/>
              <w:right w:w="120" w:type="dxa"/>
            </w:tcMar>
            <w:tcBorders>
              <w:top w:val="single" w:sz="4" w:space="0" w:color="E5E7EB"/>
              <w:left w:val="none" w:sz="4" w:space="0" w:color="auto"/>
              <w:bottom w:val="single" w:sz="4" w:space="0" w:color="E5E7EB"/>
              <w:right w:val="none" w:sz="4" w:space="0" w:color="auto"/>
            </w:tcBorders>
          </w:tcPr>
          <w:p>
            <w:pPr>
              <w:spacing w:before="0" w:after="0" w:line="276" w:lineRule="auto"/>
            </w:pPr>
            <w:r>
              <w:rPr>
                <w:rFonts w:ascii="Arial" w:hAnsi="Arial"/>
                <w:color w:val="1F2937"/>
                <w:sz w:val="17"/>
              </w:rPr>
              <w:t>6 / 10 Items</w:t>
            </w:r>
          </w:p>
        </w:tc>
        <w:tc>
          <w:tcPr>
            <w:tcW w:type="dxa" w:w="3413"/>
            <w:shd w:fill="F3F4F6"/>
            <w:tcMar>
              <w:top w:w="100" w:type="dxa"/>
              <w:bottom w:w="100" w:type="dxa"/>
              <w:left w:w="120" w:type="dxa"/>
              <w:right w:w="120" w:type="dxa"/>
            </w:tcMar>
            <w:tcBorders>
              <w:top w:val="single" w:sz="4" w:space="0" w:color="E5E7EB"/>
              <w:left w:val="none" w:sz="4" w:space="0" w:color="auto"/>
              <w:bottom w:val="single" w:sz="4" w:space="0" w:color="E5E7EB"/>
              <w:right w:val="none" w:sz="4" w:space="0" w:color="auto"/>
            </w:tcBorders>
          </w:tcPr>
          <w:p>
            <w:pPr>
              <w:spacing w:before="0" w:after="0" w:line="276" w:lineRule="auto"/>
            </w:pPr>
            <w:r>
              <w:rPr>
                <w:rFonts w:ascii="Arial" w:hAnsi="Arial"/>
                <w:color w:val="1F2937"/>
                <w:sz w:val="17"/>
              </w:rPr>
              <w:t>Accurate on mechanical fasteners; struggles on soft chemical sealants vs. mortar embeds.</w:t>
            </w:r>
          </w:p>
        </w:tc>
      </w:tr>
      <w:tr>
        <w:tc>
          <w:tcPr>
            <w:tcW w:type="dxa" w:w="2592"/>
            <w:shd w:fill="FFFFFF"/>
            <w:tcMar>
              <w:top w:w="100" w:type="dxa"/>
              <w:bottom w:w="100" w:type="dxa"/>
              <w:left w:w="120" w:type="dxa"/>
              <w:right w:w="120" w:type="dxa"/>
            </w:tcMar>
            <w:tcBorders>
              <w:top w:val="single" w:sz="4" w:space="0" w:color="E5E7EB"/>
              <w:left w:val="none" w:sz="4" w:space="0" w:color="auto"/>
              <w:bottom w:val="single" w:sz="4" w:space="0" w:color="E5E7EB"/>
              <w:right w:val="none" w:sz="4" w:space="0" w:color="auto"/>
            </w:tcBorders>
          </w:tcPr>
          <w:p>
            <w:pPr>
              <w:spacing w:before="0" w:after="0" w:line="276" w:lineRule="auto"/>
            </w:pPr>
            <w:r>
              <w:rPr>
                <w:rFonts w:ascii="Arial" w:hAnsi="Arial"/>
                <w:b/>
                <w:color w:val="1F2937"/>
                <w:sz w:val="17"/>
              </w:rPr>
              <w:t>eBKP-H Level 3 (Micro)</w:t>
            </w:r>
          </w:p>
        </w:tc>
        <w:tc>
          <w:tcPr>
            <w:tcW w:type="dxa" w:w="1584"/>
            <w:shd w:fill="FFFFFF"/>
            <w:tcMar>
              <w:top w:w="100" w:type="dxa"/>
              <w:bottom w:w="100" w:type="dxa"/>
              <w:left w:w="120" w:type="dxa"/>
              <w:right w:w="120" w:type="dxa"/>
            </w:tcMar>
            <w:tcBorders>
              <w:top w:val="single" w:sz="4" w:space="0" w:color="E5E7EB"/>
              <w:left w:val="none" w:sz="4" w:space="0" w:color="auto"/>
              <w:bottom w:val="single" w:sz="4" w:space="0" w:color="E5E7EB"/>
              <w:right w:val="none" w:sz="4" w:space="0" w:color="auto"/>
            </w:tcBorders>
          </w:tcPr>
          <w:p>
            <w:pPr>
              <w:spacing w:before="0" w:after="0" w:line="276" w:lineRule="auto"/>
            </w:pPr>
            <w:r>
              <w:rPr>
                <w:rFonts w:ascii="Arial" w:hAnsi="Arial"/>
                <w:b/>
                <w:color w:val="D97706"/>
                <w:sz w:val="17"/>
              </w:rPr>
              <w:t>50.0%</w:t>
            </w:r>
          </w:p>
        </w:tc>
        <w:tc>
          <w:tcPr>
            <w:tcW w:type="dxa" w:w="1440"/>
            <w:shd w:fill="FFFFFF"/>
            <w:tcMar>
              <w:top w:w="100" w:type="dxa"/>
              <w:bottom w:w="100" w:type="dxa"/>
              <w:left w:w="120" w:type="dxa"/>
              <w:right w:w="120" w:type="dxa"/>
            </w:tcMar>
            <w:tcBorders>
              <w:top w:val="single" w:sz="4" w:space="0" w:color="E5E7EB"/>
              <w:left w:val="none" w:sz="4" w:space="0" w:color="auto"/>
              <w:bottom w:val="single" w:sz="4" w:space="0" w:color="E5E7EB"/>
              <w:right w:val="none" w:sz="4" w:space="0" w:color="auto"/>
            </w:tcBorders>
          </w:tcPr>
          <w:p>
            <w:pPr>
              <w:spacing w:before="0" w:after="0" w:line="276" w:lineRule="auto"/>
            </w:pPr>
            <w:r>
              <w:rPr>
                <w:rFonts w:ascii="Arial" w:hAnsi="Arial"/>
                <w:color w:val="1F2937"/>
                <w:sz w:val="17"/>
              </w:rPr>
              <w:t>5 / 10 Items</w:t>
            </w:r>
          </w:p>
        </w:tc>
        <w:tc>
          <w:tcPr>
            <w:tcW w:type="dxa" w:w="3413"/>
            <w:shd w:fill="FFFFFF"/>
            <w:tcMar>
              <w:top w:w="100" w:type="dxa"/>
              <w:bottom w:w="100" w:type="dxa"/>
              <w:left w:w="120" w:type="dxa"/>
              <w:right w:w="120" w:type="dxa"/>
            </w:tcMar>
            <w:tcBorders>
              <w:top w:val="single" w:sz="4" w:space="0" w:color="E5E7EB"/>
              <w:left w:val="none" w:sz="4" w:space="0" w:color="auto"/>
              <w:bottom w:val="single" w:sz="4" w:space="0" w:color="E5E7EB"/>
              <w:right w:val="none" w:sz="4" w:space="0" w:color="auto"/>
            </w:tcBorders>
          </w:tcPr>
          <w:p>
            <w:pPr>
              <w:spacing w:before="0" w:after="0" w:line="276" w:lineRule="auto"/>
            </w:pPr>
            <w:r>
              <w:rPr>
                <w:rFonts w:ascii="Arial" w:hAnsi="Arial"/>
                <w:color w:val="1F2937"/>
                <w:sz w:val="17"/>
              </w:rPr>
              <w:t>Correct on standard units; hallucinates custom suffixes on specialized stairs/boilers.</w:t>
            </w:r>
          </w:p>
        </w:tc>
      </w:tr>
      <w:tr>
        <w:tc>
          <w:tcPr>
            <w:tcW w:type="dxa" w:w="2592"/>
            <w:shd w:fill="F3F4F6"/>
            <w:tcMar>
              <w:top w:w="100" w:type="dxa"/>
              <w:bottom w:w="100" w:type="dxa"/>
              <w:left w:w="120" w:type="dxa"/>
              <w:right w:w="120" w:type="dxa"/>
            </w:tcMar>
            <w:tcBorders>
              <w:top w:val="single" w:sz="4" w:space="0" w:color="E5E7EB"/>
              <w:left w:val="none" w:sz="4" w:space="0" w:color="auto"/>
              <w:bottom w:val="single" w:sz="4" w:space="0" w:color="E5E7EB"/>
              <w:right w:val="none" w:sz="4" w:space="0" w:color="auto"/>
            </w:tcBorders>
          </w:tcPr>
          <w:p>
            <w:pPr>
              <w:spacing w:before="0" w:after="0" w:line="276" w:lineRule="auto"/>
            </w:pPr>
            <w:r>
              <w:rPr>
                <w:rFonts w:ascii="Arial" w:hAnsi="Arial"/>
                <w:b/>
                <w:color w:val="1F2937"/>
                <w:sz w:val="17"/>
              </w:rPr>
              <w:t>Pollutants Risk Flag</w:t>
            </w:r>
          </w:p>
        </w:tc>
        <w:tc>
          <w:tcPr>
            <w:tcW w:type="dxa" w:w="1584"/>
            <w:shd w:fill="F3F4F6"/>
            <w:tcMar>
              <w:top w:w="100" w:type="dxa"/>
              <w:bottom w:w="100" w:type="dxa"/>
              <w:left w:w="120" w:type="dxa"/>
              <w:right w:w="120" w:type="dxa"/>
            </w:tcMar>
            <w:tcBorders>
              <w:top w:val="single" w:sz="4" w:space="0" w:color="E5E7EB"/>
              <w:left w:val="none" w:sz="4" w:space="0" w:color="auto"/>
              <w:bottom w:val="single" w:sz="4" w:space="0" w:color="E5E7EB"/>
              <w:right w:val="none" w:sz="4" w:space="0" w:color="auto"/>
            </w:tcBorders>
          </w:tcPr>
          <w:p>
            <w:pPr>
              <w:spacing w:before="0" w:after="0" w:line="276" w:lineRule="auto"/>
            </w:pPr>
            <w:r>
              <w:rPr>
                <w:rFonts w:ascii="Arial" w:hAnsi="Arial"/>
                <w:b/>
                <w:color w:val="D97706"/>
                <w:sz w:val="17"/>
              </w:rPr>
              <w:t>50.0%</w:t>
            </w:r>
          </w:p>
        </w:tc>
        <w:tc>
          <w:tcPr>
            <w:tcW w:type="dxa" w:w="1440"/>
            <w:shd w:fill="F3F4F6"/>
            <w:tcMar>
              <w:top w:w="100" w:type="dxa"/>
              <w:bottom w:w="100" w:type="dxa"/>
              <w:left w:w="120" w:type="dxa"/>
              <w:right w:w="120" w:type="dxa"/>
            </w:tcMar>
            <w:tcBorders>
              <w:top w:val="single" w:sz="4" w:space="0" w:color="E5E7EB"/>
              <w:left w:val="none" w:sz="4" w:space="0" w:color="auto"/>
              <w:bottom w:val="single" w:sz="4" w:space="0" w:color="E5E7EB"/>
              <w:right w:val="none" w:sz="4" w:space="0" w:color="auto"/>
            </w:tcBorders>
          </w:tcPr>
          <w:p>
            <w:pPr>
              <w:spacing w:before="0" w:after="0" w:line="276" w:lineRule="auto"/>
            </w:pPr>
            <w:r>
              <w:rPr>
                <w:rFonts w:ascii="Arial" w:hAnsi="Arial"/>
                <w:color w:val="1F2937"/>
                <w:sz w:val="17"/>
              </w:rPr>
              <w:t>5 / 10 Items</w:t>
            </w:r>
          </w:p>
        </w:tc>
        <w:tc>
          <w:tcPr>
            <w:tcW w:type="dxa" w:w="3413"/>
            <w:shd w:fill="F3F4F6"/>
            <w:tcMar>
              <w:top w:w="100" w:type="dxa"/>
              <w:bottom w:w="100" w:type="dxa"/>
              <w:left w:w="120" w:type="dxa"/>
              <w:right w:w="120" w:type="dxa"/>
            </w:tcMar>
            <w:tcBorders>
              <w:top w:val="single" w:sz="4" w:space="0" w:color="E5E7EB"/>
              <w:left w:val="none" w:sz="4" w:space="0" w:color="auto"/>
              <w:bottom w:val="single" w:sz="4" w:space="0" w:color="E5E7EB"/>
              <w:right w:val="none" w:sz="4" w:space="0" w:color="auto"/>
            </w:tcBorders>
          </w:tcPr>
          <w:p>
            <w:pPr>
              <w:spacing w:before="0" w:after="0" w:line="276" w:lineRule="auto"/>
            </w:pPr>
            <w:r>
              <w:rPr>
                <w:rFonts w:ascii="Arial" w:hAnsi="Arial"/>
                <w:color w:val="1F2937"/>
                <w:sz w:val="17"/>
              </w:rPr>
              <w:t>Vision-only inspection missed age-correlated hazardous materials (pre-1990 mastic/lead).</w:t>
            </w:r>
          </w:p>
        </w:tc>
      </w:tr>
      <w:tr>
        <w:tc>
          <w:tcPr>
            <w:tcW w:type="dxa" w:w="2592"/>
            <w:shd w:fill="FFFFFF"/>
            <w:tcMar>
              <w:top w:w="100" w:type="dxa"/>
              <w:bottom w:w="100" w:type="dxa"/>
              <w:left w:w="120" w:type="dxa"/>
              <w:right w:w="120" w:type="dxa"/>
            </w:tcMar>
            <w:tcBorders>
              <w:top w:val="single" w:sz="4" w:space="0" w:color="E5E7EB"/>
              <w:left w:val="none" w:sz="4" w:space="0" w:color="auto"/>
              <w:bottom w:val="single" w:sz="4" w:space="0" w:color="E5E7EB"/>
              <w:right w:val="none" w:sz="4" w:space="0" w:color="auto"/>
            </w:tcBorders>
          </w:tcPr>
          <w:p>
            <w:pPr>
              <w:spacing w:before="0" w:after="0" w:line="276" w:lineRule="auto"/>
            </w:pPr>
            <w:r>
              <w:rPr>
                <w:rFonts w:ascii="Arial" w:hAnsi="Arial"/>
                <w:b/>
                <w:color w:val="1F2937"/>
                <w:sz w:val="17"/>
              </w:rPr>
              <w:t>Theoretical Service Life (RSL)</w:t>
            </w:r>
          </w:p>
        </w:tc>
        <w:tc>
          <w:tcPr>
            <w:tcW w:type="dxa" w:w="1584"/>
            <w:shd w:fill="FFFFFF"/>
            <w:tcMar>
              <w:top w:w="100" w:type="dxa"/>
              <w:bottom w:w="100" w:type="dxa"/>
              <w:left w:w="120" w:type="dxa"/>
              <w:right w:w="120" w:type="dxa"/>
            </w:tcMar>
            <w:tcBorders>
              <w:top w:val="single" w:sz="4" w:space="0" w:color="E5E7EB"/>
              <w:left w:val="none" w:sz="4" w:space="0" w:color="auto"/>
              <w:bottom w:val="single" w:sz="4" w:space="0" w:color="E5E7EB"/>
              <w:right w:val="none" w:sz="4" w:space="0" w:color="auto"/>
            </w:tcBorders>
          </w:tcPr>
          <w:p>
            <w:pPr>
              <w:spacing w:before="0" w:after="0" w:line="276" w:lineRule="auto"/>
            </w:pPr>
            <w:r>
              <w:rPr>
                <w:rFonts w:ascii="Arial" w:hAnsi="Arial"/>
                <w:b/>
                <w:color w:val="DC2626"/>
                <w:sz w:val="17"/>
              </w:rPr>
              <w:t>20.0%</w:t>
            </w:r>
          </w:p>
        </w:tc>
        <w:tc>
          <w:tcPr>
            <w:tcW w:type="dxa" w:w="1440"/>
            <w:shd w:fill="FFFFFF"/>
            <w:tcMar>
              <w:top w:w="100" w:type="dxa"/>
              <w:bottom w:w="100" w:type="dxa"/>
              <w:left w:w="120" w:type="dxa"/>
              <w:right w:w="120" w:type="dxa"/>
            </w:tcMar>
            <w:tcBorders>
              <w:top w:val="single" w:sz="4" w:space="0" w:color="E5E7EB"/>
              <w:left w:val="none" w:sz="4" w:space="0" w:color="auto"/>
              <w:bottom w:val="single" w:sz="4" w:space="0" w:color="E5E7EB"/>
              <w:right w:val="none" w:sz="4" w:space="0" w:color="auto"/>
            </w:tcBorders>
          </w:tcPr>
          <w:p>
            <w:pPr>
              <w:spacing w:before="0" w:after="0" w:line="276" w:lineRule="auto"/>
            </w:pPr>
            <w:r>
              <w:rPr>
                <w:rFonts w:ascii="Arial" w:hAnsi="Arial"/>
                <w:color w:val="1F2937"/>
                <w:sz w:val="17"/>
              </w:rPr>
              <w:t>2 / 10 Items</w:t>
            </w:r>
          </w:p>
        </w:tc>
        <w:tc>
          <w:tcPr>
            <w:tcW w:type="dxa" w:w="3413"/>
            <w:shd w:fill="FFFFFF"/>
            <w:tcMar>
              <w:top w:w="100" w:type="dxa"/>
              <w:bottom w:w="100" w:type="dxa"/>
              <w:left w:w="120" w:type="dxa"/>
              <w:right w:w="120" w:type="dxa"/>
            </w:tcMar>
            <w:tcBorders>
              <w:top w:val="single" w:sz="4" w:space="0" w:color="E5E7EB"/>
              <w:left w:val="none" w:sz="4" w:space="0" w:color="auto"/>
              <w:bottom w:val="single" w:sz="4" w:space="0" w:color="E5E7EB"/>
              <w:right w:val="none" w:sz="4" w:space="0" w:color="auto"/>
            </w:tcBorders>
          </w:tcPr>
          <w:p>
            <w:pPr>
              <w:spacing w:before="0" w:after="0" w:line="276" w:lineRule="auto"/>
            </w:pPr>
            <w:r>
              <w:rPr>
                <w:rFonts w:ascii="Arial" w:hAnsi="Arial"/>
                <w:color w:val="1F2937"/>
                <w:sz w:val="17"/>
              </w:rPr>
              <w:t>Defaulted to 30 years nominal fallback due to unlinked WBS string keys in SQLite.</w:t>
            </w:r>
          </w:p>
        </w:tc>
      </w:tr>
      <w:tr>
        <w:tc>
          <w:tcPr>
            <w:tcW w:type="dxa" w:w="2592"/>
            <w:shd w:fill="F3F4F6"/>
            <w:tcMar>
              <w:top w:w="100" w:type="dxa"/>
              <w:bottom w:w="100" w:type="dxa"/>
              <w:left w:w="120" w:type="dxa"/>
              <w:right w:w="120" w:type="dxa"/>
            </w:tcMar>
            <w:tcBorders>
              <w:top w:val="single" w:sz="4" w:space="0" w:color="E5E7EB"/>
              <w:left w:val="none" w:sz="4" w:space="0" w:color="auto"/>
              <w:bottom w:val="single" w:sz="4" w:space="0" w:color="E5E7EB"/>
              <w:right w:val="none" w:sz="4" w:space="0" w:color="auto"/>
            </w:tcBorders>
          </w:tcPr>
          <w:p>
            <w:pPr>
              <w:spacing w:before="0" w:after="0" w:line="276" w:lineRule="auto"/>
            </w:pPr>
            <w:r>
              <w:rPr>
                <w:rFonts w:ascii="Arial" w:hAnsi="Arial"/>
                <w:b/>
                <w:color w:val="1F2937"/>
                <w:sz w:val="17"/>
              </w:rPr>
              <w:t>WBS Code Resolution</w:t>
            </w:r>
          </w:p>
        </w:tc>
        <w:tc>
          <w:tcPr>
            <w:tcW w:type="dxa" w:w="1584"/>
            <w:shd w:fill="F3F4F6"/>
            <w:tcMar>
              <w:top w:w="100" w:type="dxa"/>
              <w:bottom w:w="100" w:type="dxa"/>
              <w:left w:w="120" w:type="dxa"/>
              <w:right w:w="120" w:type="dxa"/>
            </w:tcMar>
            <w:tcBorders>
              <w:top w:val="single" w:sz="4" w:space="0" w:color="E5E7EB"/>
              <w:left w:val="none" w:sz="4" w:space="0" w:color="auto"/>
              <w:bottom w:val="single" w:sz="4" w:space="0" w:color="E5E7EB"/>
              <w:right w:val="none" w:sz="4" w:space="0" w:color="auto"/>
            </w:tcBorders>
          </w:tcPr>
          <w:p>
            <w:pPr>
              <w:spacing w:before="0" w:after="0" w:line="276" w:lineRule="auto"/>
            </w:pPr>
            <w:r>
              <w:rPr>
                <w:rFonts w:ascii="Arial" w:hAnsi="Arial"/>
                <w:b/>
                <w:color w:val="DC2626"/>
                <w:sz w:val="17"/>
              </w:rPr>
              <w:t>0.0%</w:t>
            </w:r>
          </w:p>
        </w:tc>
        <w:tc>
          <w:tcPr>
            <w:tcW w:type="dxa" w:w="1440"/>
            <w:shd w:fill="F3F4F6"/>
            <w:tcMar>
              <w:top w:w="100" w:type="dxa"/>
              <w:bottom w:w="100" w:type="dxa"/>
              <w:left w:w="120" w:type="dxa"/>
              <w:right w:w="120" w:type="dxa"/>
            </w:tcMar>
            <w:tcBorders>
              <w:top w:val="single" w:sz="4" w:space="0" w:color="E5E7EB"/>
              <w:left w:val="none" w:sz="4" w:space="0" w:color="auto"/>
              <w:bottom w:val="single" w:sz="4" w:space="0" w:color="E5E7EB"/>
              <w:right w:val="none" w:sz="4" w:space="0" w:color="auto"/>
            </w:tcBorders>
          </w:tcPr>
          <w:p>
            <w:pPr>
              <w:spacing w:before="0" w:after="0" w:line="276" w:lineRule="auto"/>
            </w:pPr>
            <w:r>
              <w:rPr>
                <w:rFonts w:ascii="Arial" w:hAnsi="Arial"/>
                <w:color w:val="1F2937"/>
                <w:sz w:val="17"/>
              </w:rPr>
              <w:t>0 / 71 Rows</w:t>
            </w:r>
          </w:p>
        </w:tc>
        <w:tc>
          <w:tcPr>
            <w:tcW w:type="dxa" w:w="3413"/>
            <w:shd w:fill="F3F4F6"/>
            <w:tcMar>
              <w:top w:w="100" w:type="dxa"/>
              <w:bottom w:w="100" w:type="dxa"/>
              <w:left w:w="120" w:type="dxa"/>
              <w:right w:w="120" w:type="dxa"/>
            </w:tcMar>
            <w:tcBorders>
              <w:top w:val="single" w:sz="4" w:space="0" w:color="E5E7EB"/>
              <w:left w:val="none" w:sz="4" w:space="0" w:color="auto"/>
              <w:bottom w:val="single" w:sz="4" w:space="0" w:color="E5E7EB"/>
              <w:right w:val="none" w:sz="4" w:space="0" w:color="auto"/>
            </w:tcBorders>
          </w:tcPr>
          <w:p>
            <w:pPr>
              <w:spacing w:before="0" w:after="0" w:line="276" w:lineRule="auto"/>
            </w:pPr>
            <w:r>
              <w:rPr>
                <w:rFonts w:ascii="Arial" w:hAnsi="Arial"/>
                <w:color w:val="1F2937"/>
                <w:sz w:val="17"/>
              </w:rPr>
              <w:t>String mismatch between English VLM outputs and Italian sheet keys in SQLite KB.</w:t>
            </w:r>
          </w:p>
        </w:tc>
      </w:tr>
    </w:tbl>
    <w:p>
      <w:pPr>
        <w:spacing w:before="0" w:after="160"/>
      </w:pPr>
    </w:p>
    <w:p>
      <w:pPr>
        <w:keepNext/>
        <w:spacing w:before="360" w:after="120"/>
        <w:pBdr>
          <w:bottom w:val="single" w:sz="12" w:space="4" w:color="2B6CB0"/>
        </w:pBdr>
      </w:pPr>
      <w:r>
        <w:rPr>
          <w:rFonts w:ascii="Arial" w:hAnsi="Arial"/>
          <w:b/>
          <w:color w:val="1B365D"/>
          <w:sz w:val="28"/>
        </w:rPr>
        <w:t>3. Component-by-Component Benchmark Comparison</w:t>
      </w:r>
    </w:p>
    <w:p>
      <w:pPr>
        <w:spacing w:before="0" w:after="120" w:line="276" w:lineRule="auto"/>
      </w:pPr>
      <w:r>
        <w:rPr>
          <w:rFonts w:ascii="Arial" w:hAnsi="Arial"/>
          <w:color w:val="1F2937"/>
          <w:sz w:val="20"/>
        </w:rPr>
        <w:t>A direct side-by-side comparison between human deconstruction audits and AI perception highlights specific strengths in architectural prior utilization as well as edge-case limitations in monocular vision:</w:t>
      </w:r>
    </w:p>
    <w:tbl>
      <w:tblPr>
        <w:tblW w:type="auto" w:w="0"/>
        <w:jc w:val="center"/>
        <w:tblLayout w:type="fixed"/>
        <w:tblLook w:firstColumn="1" w:firstRow="1" w:lastColumn="0" w:lastRow="0" w:noHBand="0" w:noVBand="1" w:val="04A0"/>
      </w:tblPr>
      <w:tblGrid>
        <w:gridCol w:w="1806"/>
        <w:gridCol w:w="1806"/>
        <w:gridCol w:w="1806"/>
        <w:gridCol w:w="1806"/>
        <w:gridCol w:w="1806"/>
      </w:tblGrid>
      <w:tr>
        <w:tc>
          <w:tcPr>
            <w:tcW w:type="dxa" w:w="2016"/>
            <w:shd w:fill="1B365D"/>
            <w:tcMar>
              <w:top w:w="140" w:type="dxa"/>
              <w:bottom w:w="140" w:type="dxa"/>
              <w:left w:w="100" w:type="dxa"/>
              <w:right w:w="100" w:type="dxa"/>
            </w:tcMar>
          </w:tcPr>
          <w:p>
            <w:pPr>
              <w:spacing w:before="0" w:after="0"/>
            </w:pPr>
            <w:r>
              <w:rPr>
                <w:rFonts w:ascii="Arial" w:hAnsi="Arial"/>
                <w:b/>
                <w:color w:val="FFFFFF"/>
                <w:sz w:val="18"/>
              </w:rPr>
              <w:t>Benchmark Element</w:t>
            </w:r>
          </w:p>
        </w:tc>
        <w:tc>
          <w:tcPr>
            <w:tcW w:type="dxa" w:w="1584"/>
            <w:shd w:fill="1B365D"/>
            <w:tcMar>
              <w:top w:w="140" w:type="dxa"/>
              <w:bottom w:w="140" w:type="dxa"/>
              <w:left w:w="100" w:type="dxa"/>
              <w:right w:w="100" w:type="dxa"/>
            </w:tcMar>
          </w:tcPr>
          <w:p>
            <w:pPr>
              <w:spacing w:before="0" w:after="0"/>
            </w:pPr>
            <w:r>
              <w:rPr>
                <w:rFonts w:ascii="Arial" w:hAnsi="Arial"/>
                <w:b/>
                <w:color w:val="FFFFFF"/>
                <w:sz w:val="18"/>
              </w:rPr>
              <w:t>Ground Truth eBKP-H</w:t>
            </w:r>
          </w:p>
        </w:tc>
        <w:tc>
          <w:tcPr>
            <w:tcW w:type="dxa" w:w="1872"/>
            <w:shd w:fill="1B365D"/>
            <w:tcMar>
              <w:top w:w="140" w:type="dxa"/>
              <w:bottom w:w="140" w:type="dxa"/>
              <w:left w:w="100" w:type="dxa"/>
              <w:right w:w="100" w:type="dxa"/>
            </w:tcMar>
          </w:tcPr>
          <w:p>
            <w:pPr>
              <w:spacing w:before="0" w:after="0"/>
            </w:pPr>
            <w:r>
              <w:rPr>
                <w:rFonts w:ascii="Arial" w:hAnsi="Arial"/>
                <w:b/>
                <w:color w:val="FFFFFF"/>
                <w:sz w:val="18"/>
              </w:rPr>
              <w:t>Ground Truth Size</w:t>
            </w:r>
          </w:p>
        </w:tc>
        <w:tc>
          <w:tcPr>
            <w:tcW w:type="dxa" w:w="2016"/>
            <w:shd w:fill="1B365D"/>
            <w:tcMar>
              <w:top w:w="140" w:type="dxa"/>
              <w:bottom w:w="140" w:type="dxa"/>
              <w:left w:w="100" w:type="dxa"/>
              <w:right w:w="100" w:type="dxa"/>
            </w:tcMar>
          </w:tcPr>
          <w:p>
            <w:pPr>
              <w:spacing w:before="0" w:after="0"/>
            </w:pPr>
            <w:r>
              <w:rPr>
                <w:rFonts w:ascii="Arial" w:hAnsi="Arial"/>
                <w:b/>
                <w:color w:val="FFFFFF"/>
                <w:sz w:val="18"/>
              </w:rPr>
              <w:t>Qwen3 AI Prediction</w:t>
            </w:r>
          </w:p>
        </w:tc>
        <w:tc>
          <w:tcPr>
            <w:tcW w:type="dxa" w:w="1541"/>
            <w:shd w:fill="1B365D"/>
            <w:tcMar>
              <w:top w:w="140" w:type="dxa"/>
              <w:bottom w:w="140" w:type="dxa"/>
              <w:left w:w="100" w:type="dxa"/>
              <w:right w:w="100" w:type="dxa"/>
            </w:tcMar>
          </w:tcPr>
          <w:p>
            <w:pPr>
              <w:spacing w:before="0" w:after="0"/>
            </w:pPr>
            <w:r>
              <w:rPr>
                <w:rFonts w:ascii="Arial" w:hAnsi="Arial"/>
                <w:b/>
                <w:color w:val="FFFFFF"/>
                <w:sz w:val="18"/>
              </w:rPr>
              <w:t>Accuracy Grade</w:t>
            </w:r>
          </w:p>
        </w:tc>
      </w:tr>
      <w:tr>
        <w:tc>
          <w:tcPr>
            <w:tcW w:type="dxa" w:w="2016"/>
            <w:shd w:fill="FFFFFF"/>
            <w:tcMar>
              <w:top w:w="100" w:type="dxa"/>
              <w:bottom w:w="100" w:type="dxa"/>
              <w:left w:w="100" w:type="dxa"/>
              <w:right w:w="100" w:type="dxa"/>
            </w:tcMar>
            <w:tcBorders>
              <w:top w:val="single" w:sz="4" w:space="0" w:color="E5E7EB"/>
              <w:left w:val="none" w:sz="4" w:space="0" w:color="auto"/>
              <w:bottom w:val="single" w:sz="4" w:space="0" w:color="E5E7EB"/>
              <w:right w:val="none" w:sz="4" w:space="0" w:color="auto"/>
            </w:tcBorders>
          </w:tcPr>
          <w:p>
            <w:pPr>
              <w:spacing w:before="0" w:after="0" w:line="276" w:lineRule="auto"/>
            </w:pPr>
            <w:r>
              <w:rPr>
                <w:rFonts w:ascii="Arial" w:hAnsi="Arial"/>
                <w:b/>
                <w:color w:val="1F2937"/>
                <w:sz w:val="17"/>
              </w:rPr>
              <w:t>EI 60 Internal Door</w:t>
            </w:r>
          </w:p>
        </w:tc>
        <w:tc>
          <w:tcPr>
            <w:tcW w:type="dxa" w:w="1584"/>
            <w:shd w:fill="FFFFFF"/>
            <w:tcMar>
              <w:top w:w="100" w:type="dxa"/>
              <w:bottom w:w="100" w:type="dxa"/>
              <w:left w:w="100" w:type="dxa"/>
              <w:right w:w="100" w:type="dxa"/>
            </w:tcMar>
            <w:tcBorders>
              <w:top w:val="single" w:sz="4" w:space="0" w:color="E5E7EB"/>
              <w:left w:val="none" w:sz="4" w:space="0" w:color="auto"/>
              <w:bottom w:val="single" w:sz="4" w:space="0" w:color="E5E7EB"/>
              <w:right w:val="none" w:sz="4" w:space="0" w:color="auto"/>
            </w:tcBorders>
          </w:tcPr>
          <w:p>
            <w:pPr>
              <w:spacing w:before="0" w:after="0" w:line="276" w:lineRule="auto"/>
            </w:pPr>
            <w:r>
              <w:rPr>
                <w:rFonts w:ascii="Arial" w:hAnsi="Arial"/>
                <w:color w:val="1F2937"/>
                <w:sz w:val="17"/>
              </w:rPr>
              <w:t>G0105_Porta_interna</w:t>
            </w:r>
          </w:p>
        </w:tc>
        <w:tc>
          <w:tcPr>
            <w:tcW w:type="dxa" w:w="1872"/>
            <w:shd w:fill="FFFFFF"/>
            <w:tcMar>
              <w:top w:w="100" w:type="dxa"/>
              <w:bottom w:w="100" w:type="dxa"/>
              <w:left w:w="100" w:type="dxa"/>
              <w:right w:w="100" w:type="dxa"/>
            </w:tcMar>
            <w:tcBorders>
              <w:top w:val="single" w:sz="4" w:space="0" w:color="E5E7EB"/>
              <w:left w:val="none" w:sz="4" w:space="0" w:color="auto"/>
              <w:bottom w:val="single" w:sz="4" w:space="0" w:color="E5E7EB"/>
              <w:right w:val="none" w:sz="4" w:space="0" w:color="auto"/>
            </w:tcBorders>
          </w:tcPr>
          <w:p>
            <w:pPr>
              <w:spacing w:before="0" w:after="0" w:line="276" w:lineRule="auto"/>
            </w:pPr>
            <w:r>
              <w:rPr>
                <w:rFonts w:ascii="Arial" w:hAnsi="Arial"/>
                <w:color w:val="1F2937"/>
                <w:sz w:val="17"/>
              </w:rPr>
              <w:t>0.90 m x 2.00 m</w:t>
            </w:r>
          </w:p>
        </w:tc>
        <w:tc>
          <w:tcPr>
            <w:tcW w:type="dxa" w:w="2016"/>
            <w:shd w:fill="FFFFFF"/>
            <w:tcMar>
              <w:top w:w="100" w:type="dxa"/>
              <w:bottom w:w="100" w:type="dxa"/>
              <w:left w:w="100" w:type="dxa"/>
              <w:right w:w="100" w:type="dxa"/>
            </w:tcMar>
            <w:tcBorders>
              <w:top w:val="single" w:sz="4" w:space="0" w:color="E5E7EB"/>
              <w:left w:val="none" w:sz="4" w:space="0" w:color="auto"/>
              <w:bottom w:val="single" w:sz="4" w:space="0" w:color="E5E7EB"/>
              <w:right w:val="none" w:sz="4" w:space="0" w:color="auto"/>
            </w:tcBorders>
          </w:tcPr>
          <w:p>
            <w:pPr>
              <w:spacing w:before="0" w:after="0" w:line="276" w:lineRule="auto"/>
            </w:pPr>
            <w:r>
              <w:rPr>
                <w:rFonts w:ascii="Arial" w:hAnsi="Arial"/>
                <w:color w:val="1F2937"/>
                <w:sz w:val="17"/>
              </w:rPr>
              <w:t>0.90 m x 2.00 m</w:t>
              <w:br/>
              <w:t>(G0105_Porta_interna)</w:t>
            </w:r>
          </w:p>
        </w:tc>
        <w:tc>
          <w:tcPr>
            <w:tcW w:type="dxa" w:w="1541"/>
            <w:shd w:fill="FFFFFF"/>
            <w:tcMar>
              <w:top w:w="100" w:type="dxa"/>
              <w:bottom w:w="100" w:type="dxa"/>
              <w:left w:w="100" w:type="dxa"/>
              <w:right w:w="100" w:type="dxa"/>
            </w:tcMar>
            <w:tcBorders>
              <w:top w:val="single" w:sz="4" w:space="0" w:color="E5E7EB"/>
              <w:left w:val="none" w:sz="4" w:space="0" w:color="auto"/>
              <w:bottom w:val="single" w:sz="4" w:space="0" w:color="E5E7EB"/>
              <w:right w:val="none" w:sz="4" w:space="0" w:color="auto"/>
            </w:tcBorders>
          </w:tcPr>
          <w:p>
            <w:pPr>
              <w:spacing w:before="0" w:after="0" w:line="276" w:lineRule="auto"/>
            </w:pPr>
            <w:r>
              <w:rPr>
                <w:rFonts w:ascii="Arial" w:hAnsi="Arial"/>
                <w:b/>
                <w:color w:val="059669"/>
                <w:sz w:val="17"/>
              </w:rPr>
              <w:t>Exact (100%)</w:t>
            </w:r>
          </w:p>
        </w:tc>
      </w:tr>
      <w:tr>
        <w:tc>
          <w:tcPr>
            <w:tcW w:type="dxa" w:w="2016"/>
            <w:shd w:fill="F3F4F6"/>
            <w:tcMar>
              <w:top w:w="100" w:type="dxa"/>
              <w:bottom w:w="100" w:type="dxa"/>
              <w:left w:w="100" w:type="dxa"/>
              <w:right w:w="100" w:type="dxa"/>
            </w:tcMar>
            <w:tcBorders>
              <w:top w:val="single" w:sz="4" w:space="0" w:color="E5E7EB"/>
              <w:left w:val="none" w:sz="4" w:space="0" w:color="auto"/>
              <w:bottom w:val="single" w:sz="4" w:space="0" w:color="E5E7EB"/>
              <w:right w:val="none" w:sz="4" w:space="0" w:color="auto"/>
            </w:tcBorders>
          </w:tcPr>
          <w:p>
            <w:pPr>
              <w:spacing w:before="0" w:after="0" w:line="276" w:lineRule="auto"/>
            </w:pPr>
            <w:r>
              <w:rPr>
                <w:rFonts w:ascii="Arial" w:hAnsi="Arial"/>
                <w:b/>
                <w:color w:val="1F2937"/>
                <w:sz w:val="17"/>
              </w:rPr>
              <w:t>Double-Glazed PVC Window</w:t>
            </w:r>
          </w:p>
        </w:tc>
        <w:tc>
          <w:tcPr>
            <w:tcW w:type="dxa" w:w="1584"/>
            <w:shd w:fill="F3F4F6"/>
            <w:tcMar>
              <w:top w:w="100" w:type="dxa"/>
              <w:bottom w:w="100" w:type="dxa"/>
              <w:left w:w="100" w:type="dxa"/>
              <w:right w:w="100" w:type="dxa"/>
            </w:tcMar>
            <w:tcBorders>
              <w:top w:val="single" w:sz="4" w:space="0" w:color="E5E7EB"/>
              <w:left w:val="none" w:sz="4" w:space="0" w:color="auto"/>
              <w:bottom w:val="single" w:sz="4" w:space="0" w:color="E5E7EB"/>
              <w:right w:val="none" w:sz="4" w:space="0" w:color="auto"/>
            </w:tcBorders>
          </w:tcPr>
          <w:p>
            <w:pPr>
              <w:spacing w:before="0" w:after="0" w:line="276" w:lineRule="auto"/>
            </w:pPr>
            <w:r>
              <w:rPr>
                <w:rFonts w:ascii="Arial" w:hAnsi="Arial"/>
                <w:color w:val="1F2937"/>
                <w:sz w:val="17"/>
              </w:rPr>
              <w:t>E0301_Finestra</w:t>
            </w:r>
          </w:p>
        </w:tc>
        <w:tc>
          <w:tcPr>
            <w:tcW w:type="dxa" w:w="1872"/>
            <w:shd w:fill="F3F4F6"/>
            <w:tcMar>
              <w:top w:w="100" w:type="dxa"/>
              <w:bottom w:w="100" w:type="dxa"/>
              <w:left w:w="100" w:type="dxa"/>
              <w:right w:w="100" w:type="dxa"/>
            </w:tcMar>
            <w:tcBorders>
              <w:top w:val="single" w:sz="4" w:space="0" w:color="E5E7EB"/>
              <w:left w:val="none" w:sz="4" w:space="0" w:color="auto"/>
              <w:bottom w:val="single" w:sz="4" w:space="0" w:color="E5E7EB"/>
              <w:right w:val="none" w:sz="4" w:space="0" w:color="auto"/>
            </w:tcBorders>
          </w:tcPr>
          <w:p>
            <w:pPr>
              <w:spacing w:before="0" w:after="0" w:line="276" w:lineRule="auto"/>
            </w:pPr>
            <w:r>
              <w:rPr>
                <w:rFonts w:ascii="Arial" w:hAnsi="Arial"/>
                <w:color w:val="1F2937"/>
                <w:sz w:val="17"/>
              </w:rPr>
              <w:t>1.78 m x 1.50 m</w:t>
            </w:r>
          </w:p>
        </w:tc>
        <w:tc>
          <w:tcPr>
            <w:tcW w:type="dxa" w:w="2016"/>
            <w:shd w:fill="F3F4F6"/>
            <w:tcMar>
              <w:top w:w="100" w:type="dxa"/>
              <w:bottom w:w="100" w:type="dxa"/>
              <w:left w:w="100" w:type="dxa"/>
              <w:right w:w="100" w:type="dxa"/>
            </w:tcMar>
            <w:tcBorders>
              <w:top w:val="single" w:sz="4" w:space="0" w:color="E5E7EB"/>
              <w:left w:val="none" w:sz="4" w:space="0" w:color="auto"/>
              <w:bottom w:val="single" w:sz="4" w:space="0" w:color="E5E7EB"/>
              <w:right w:val="none" w:sz="4" w:space="0" w:color="auto"/>
            </w:tcBorders>
          </w:tcPr>
          <w:p>
            <w:pPr>
              <w:spacing w:before="0" w:after="0" w:line="276" w:lineRule="auto"/>
            </w:pPr>
            <w:r>
              <w:rPr>
                <w:rFonts w:ascii="Arial" w:hAnsi="Arial"/>
                <w:color w:val="1F2937"/>
                <w:sz w:val="17"/>
              </w:rPr>
              <w:t>1.78 m x 1.50 m (Assembly)</w:t>
              <w:br/>
              <w:t>(E0301_Finestra)</w:t>
            </w:r>
          </w:p>
        </w:tc>
        <w:tc>
          <w:tcPr>
            <w:tcW w:type="dxa" w:w="1541"/>
            <w:shd w:fill="F3F4F6"/>
            <w:tcMar>
              <w:top w:w="100" w:type="dxa"/>
              <w:bottom w:w="100" w:type="dxa"/>
              <w:left w:w="100" w:type="dxa"/>
              <w:right w:w="100" w:type="dxa"/>
            </w:tcMar>
            <w:tcBorders>
              <w:top w:val="single" w:sz="4" w:space="0" w:color="E5E7EB"/>
              <w:left w:val="none" w:sz="4" w:space="0" w:color="auto"/>
              <w:bottom w:val="single" w:sz="4" w:space="0" w:color="E5E7EB"/>
              <w:right w:val="none" w:sz="4" w:space="0" w:color="auto"/>
            </w:tcBorders>
          </w:tcPr>
          <w:p>
            <w:pPr>
              <w:spacing w:before="0" w:after="0" w:line="276" w:lineRule="auto"/>
            </w:pPr>
            <w:r>
              <w:rPr>
                <w:rFonts w:ascii="Arial" w:hAnsi="Arial"/>
                <w:b/>
                <w:color w:val="059669"/>
                <w:sz w:val="17"/>
              </w:rPr>
              <w:t>Exact (100%)</w:t>
            </w:r>
          </w:p>
        </w:tc>
      </w:tr>
      <w:tr>
        <w:tc>
          <w:tcPr>
            <w:tcW w:type="dxa" w:w="2016"/>
            <w:shd w:fill="FFFFFF"/>
            <w:tcMar>
              <w:top w:w="100" w:type="dxa"/>
              <w:bottom w:w="100" w:type="dxa"/>
              <w:left w:w="100" w:type="dxa"/>
              <w:right w:w="100" w:type="dxa"/>
            </w:tcMar>
            <w:tcBorders>
              <w:top w:val="single" w:sz="4" w:space="0" w:color="E5E7EB"/>
              <w:left w:val="none" w:sz="4" w:space="0" w:color="auto"/>
              <w:bottom w:val="single" w:sz="4" w:space="0" w:color="E5E7EB"/>
              <w:right w:val="none" w:sz="4" w:space="0" w:color="auto"/>
            </w:tcBorders>
          </w:tcPr>
          <w:p>
            <w:pPr>
              <w:spacing w:before="0" w:after="0" w:line="276" w:lineRule="auto"/>
            </w:pPr>
            <w:r>
              <w:rPr>
                <w:rFonts w:ascii="Arial" w:hAnsi="Arial"/>
                <w:b/>
                <w:color w:val="1F2937"/>
                <w:sz w:val="17"/>
              </w:rPr>
              <w:t>Mineralized Wood Ceiling</w:t>
            </w:r>
          </w:p>
        </w:tc>
        <w:tc>
          <w:tcPr>
            <w:tcW w:type="dxa" w:w="1584"/>
            <w:shd w:fill="FFFFFF"/>
            <w:tcMar>
              <w:top w:w="100" w:type="dxa"/>
              <w:bottom w:w="100" w:type="dxa"/>
              <w:left w:w="100" w:type="dxa"/>
              <w:right w:w="100" w:type="dxa"/>
            </w:tcMar>
            <w:tcBorders>
              <w:top w:val="single" w:sz="4" w:space="0" w:color="E5E7EB"/>
              <w:left w:val="none" w:sz="4" w:space="0" w:color="auto"/>
              <w:bottom w:val="single" w:sz="4" w:space="0" w:color="E5E7EB"/>
              <w:right w:val="none" w:sz="4" w:space="0" w:color="auto"/>
            </w:tcBorders>
          </w:tcPr>
          <w:p>
            <w:pPr>
              <w:spacing w:before="0" w:after="0" w:line="276" w:lineRule="auto"/>
            </w:pPr>
            <w:r>
              <w:rPr>
                <w:rFonts w:ascii="Arial" w:hAnsi="Arial"/>
                <w:color w:val="1F2937"/>
                <w:sz w:val="17"/>
              </w:rPr>
              <w:t>G0402_Rivestimento</w:t>
            </w:r>
          </w:p>
        </w:tc>
        <w:tc>
          <w:tcPr>
            <w:tcW w:type="dxa" w:w="1872"/>
            <w:shd w:fill="FFFFFF"/>
            <w:tcMar>
              <w:top w:w="100" w:type="dxa"/>
              <w:bottom w:w="100" w:type="dxa"/>
              <w:left w:w="100" w:type="dxa"/>
              <w:right w:w="100" w:type="dxa"/>
            </w:tcMar>
            <w:tcBorders>
              <w:top w:val="single" w:sz="4" w:space="0" w:color="E5E7EB"/>
              <w:left w:val="none" w:sz="4" w:space="0" w:color="auto"/>
              <w:bottom w:val="single" w:sz="4" w:space="0" w:color="E5E7EB"/>
              <w:right w:val="none" w:sz="4" w:space="0" w:color="auto"/>
            </w:tcBorders>
          </w:tcPr>
          <w:p>
            <w:pPr>
              <w:spacing w:before="0" w:after="0" w:line="276" w:lineRule="auto"/>
            </w:pPr>
            <w:r>
              <w:rPr>
                <w:rFonts w:ascii="Arial" w:hAnsi="Arial"/>
                <w:color w:val="1F2937"/>
                <w:sz w:val="17"/>
              </w:rPr>
              <w:t>0.60 m x 0.60 m x 0.25 m</w:t>
            </w:r>
          </w:p>
        </w:tc>
        <w:tc>
          <w:tcPr>
            <w:tcW w:type="dxa" w:w="2016"/>
            <w:shd w:fill="FFFFFF"/>
            <w:tcMar>
              <w:top w:w="100" w:type="dxa"/>
              <w:bottom w:w="100" w:type="dxa"/>
              <w:left w:w="100" w:type="dxa"/>
              <w:right w:w="100" w:type="dxa"/>
            </w:tcMar>
            <w:tcBorders>
              <w:top w:val="single" w:sz="4" w:space="0" w:color="E5E7EB"/>
              <w:left w:val="none" w:sz="4" w:space="0" w:color="auto"/>
              <w:bottom w:val="single" w:sz="4" w:space="0" w:color="E5E7EB"/>
              <w:right w:val="none" w:sz="4" w:space="0" w:color="auto"/>
            </w:tcBorders>
          </w:tcPr>
          <w:p>
            <w:pPr>
              <w:spacing w:before="0" w:after="0" w:line="276" w:lineRule="auto"/>
            </w:pPr>
            <w:r>
              <w:rPr>
                <w:rFonts w:ascii="Arial" w:hAnsi="Arial"/>
                <w:color w:val="1F2937"/>
                <w:sz w:val="17"/>
              </w:rPr>
              <w:t>0.60 m x 0.60 m / tile</w:t>
              <w:br/>
              <w:t>(G0402_Rivestimento)</w:t>
            </w:r>
          </w:p>
        </w:tc>
        <w:tc>
          <w:tcPr>
            <w:tcW w:type="dxa" w:w="1541"/>
            <w:shd w:fill="FFFFFF"/>
            <w:tcMar>
              <w:top w:w="100" w:type="dxa"/>
              <w:bottom w:w="100" w:type="dxa"/>
              <w:left w:w="100" w:type="dxa"/>
              <w:right w:w="100" w:type="dxa"/>
            </w:tcMar>
            <w:tcBorders>
              <w:top w:val="single" w:sz="4" w:space="0" w:color="E5E7EB"/>
              <w:left w:val="none" w:sz="4" w:space="0" w:color="auto"/>
              <w:bottom w:val="single" w:sz="4" w:space="0" w:color="E5E7EB"/>
              <w:right w:val="none" w:sz="4" w:space="0" w:color="auto"/>
            </w:tcBorders>
          </w:tcPr>
          <w:p>
            <w:pPr>
              <w:spacing w:before="0" w:after="0" w:line="276" w:lineRule="auto"/>
            </w:pPr>
            <w:r>
              <w:rPr>
                <w:rFonts w:ascii="Arial" w:hAnsi="Arial"/>
                <w:b/>
                <w:color w:val="059669"/>
                <w:sz w:val="17"/>
              </w:rPr>
              <w:t>Exact Planar (100%)</w:t>
            </w:r>
          </w:p>
        </w:tc>
      </w:tr>
      <w:tr>
        <w:tc>
          <w:tcPr>
            <w:tcW w:type="dxa" w:w="2016"/>
            <w:shd w:fill="F3F4F6"/>
            <w:tcMar>
              <w:top w:w="100" w:type="dxa"/>
              <w:bottom w:w="100" w:type="dxa"/>
              <w:left w:w="100" w:type="dxa"/>
              <w:right w:w="100" w:type="dxa"/>
            </w:tcMar>
            <w:tcBorders>
              <w:top w:val="single" w:sz="4" w:space="0" w:color="E5E7EB"/>
              <w:left w:val="none" w:sz="4" w:space="0" w:color="auto"/>
              <w:bottom w:val="single" w:sz="4" w:space="0" w:color="E5E7EB"/>
              <w:right w:val="none" w:sz="4" w:space="0" w:color="auto"/>
            </w:tcBorders>
          </w:tcPr>
          <w:p>
            <w:pPr>
              <w:spacing w:before="0" w:after="0" w:line="276" w:lineRule="auto"/>
            </w:pPr>
            <w:r>
              <w:rPr>
                <w:rFonts w:ascii="Arial" w:hAnsi="Arial"/>
                <w:b/>
                <w:color w:val="1F2937"/>
                <w:sz w:val="17"/>
              </w:rPr>
              <w:t>Cast-Iron Radiator</w:t>
            </w:r>
          </w:p>
        </w:tc>
        <w:tc>
          <w:tcPr>
            <w:tcW w:type="dxa" w:w="1584"/>
            <w:shd w:fill="F3F4F6"/>
            <w:tcMar>
              <w:top w:w="100" w:type="dxa"/>
              <w:bottom w:w="100" w:type="dxa"/>
              <w:left w:w="100" w:type="dxa"/>
              <w:right w:w="100" w:type="dxa"/>
            </w:tcMar>
            <w:tcBorders>
              <w:top w:val="single" w:sz="4" w:space="0" w:color="E5E7EB"/>
              <w:left w:val="none" w:sz="4" w:space="0" w:color="auto"/>
              <w:bottom w:val="single" w:sz="4" w:space="0" w:color="E5E7EB"/>
              <w:right w:val="none" w:sz="4" w:space="0" w:color="auto"/>
            </w:tcBorders>
          </w:tcPr>
          <w:p>
            <w:pPr>
              <w:spacing w:before="0" w:after="0" w:line="276" w:lineRule="auto"/>
            </w:pPr>
            <w:r>
              <w:rPr>
                <w:rFonts w:ascii="Arial" w:hAnsi="Arial"/>
                <w:color w:val="1F2937"/>
                <w:sz w:val="17"/>
              </w:rPr>
              <w:t>D0505_Diffusione</w:t>
            </w:r>
          </w:p>
        </w:tc>
        <w:tc>
          <w:tcPr>
            <w:tcW w:type="dxa" w:w="1872"/>
            <w:shd w:fill="F3F4F6"/>
            <w:tcMar>
              <w:top w:w="100" w:type="dxa"/>
              <w:bottom w:w="100" w:type="dxa"/>
              <w:left w:w="100" w:type="dxa"/>
              <w:right w:w="100" w:type="dxa"/>
            </w:tcMar>
            <w:tcBorders>
              <w:top w:val="single" w:sz="4" w:space="0" w:color="E5E7EB"/>
              <w:left w:val="none" w:sz="4" w:space="0" w:color="auto"/>
              <w:bottom w:val="single" w:sz="4" w:space="0" w:color="E5E7EB"/>
              <w:right w:val="none" w:sz="4" w:space="0" w:color="auto"/>
            </w:tcBorders>
          </w:tcPr>
          <w:p>
            <w:pPr>
              <w:spacing w:before="0" w:after="0" w:line="276" w:lineRule="auto"/>
            </w:pPr>
            <w:r>
              <w:rPr>
                <w:rFonts w:ascii="Arial" w:hAnsi="Arial"/>
                <w:color w:val="1F2937"/>
                <w:sz w:val="17"/>
              </w:rPr>
              <w:t>0.80 m x 1.00 m x 0.06 m</w:t>
            </w:r>
          </w:p>
        </w:tc>
        <w:tc>
          <w:tcPr>
            <w:tcW w:type="dxa" w:w="2016"/>
            <w:shd w:fill="F3F4F6"/>
            <w:tcMar>
              <w:top w:w="100" w:type="dxa"/>
              <w:bottom w:w="100" w:type="dxa"/>
              <w:left w:w="100" w:type="dxa"/>
              <w:right w:w="100" w:type="dxa"/>
            </w:tcMar>
            <w:tcBorders>
              <w:top w:val="single" w:sz="4" w:space="0" w:color="E5E7EB"/>
              <w:left w:val="none" w:sz="4" w:space="0" w:color="auto"/>
              <w:bottom w:val="single" w:sz="4" w:space="0" w:color="E5E7EB"/>
              <w:right w:val="none" w:sz="4" w:space="0" w:color="auto"/>
            </w:tcBorders>
          </w:tcPr>
          <w:p>
            <w:pPr>
              <w:spacing w:before="0" w:after="0" w:line="276" w:lineRule="auto"/>
            </w:pPr>
            <w:r>
              <w:rPr>
                <w:rFonts w:ascii="Arial" w:hAnsi="Arial"/>
                <w:color w:val="1F2937"/>
                <w:sz w:val="17"/>
              </w:rPr>
              <w:t>0.80 m x 1.20 m</w:t>
              <w:br/>
              <w:t>(D0505_Diffusione)</w:t>
            </w:r>
          </w:p>
        </w:tc>
        <w:tc>
          <w:tcPr>
            <w:tcW w:type="dxa" w:w="1541"/>
            <w:shd w:fill="F3F4F6"/>
            <w:tcMar>
              <w:top w:w="100" w:type="dxa"/>
              <w:bottom w:w="100" w:type="dxa"/>
              <w:left w:w="100" w:type="dxa"/>
              <w:right w:w="100" w:type="dxa"/>
            </w:tcMar>
            <w:tcBorders>
              <w:top w:val="single" w:sz="4" w:space="0" w:color="E5E7EB"/>
              <w:left w:val="none" w:sz="4" w:space="0" w:color="auto"/>
              <w:bottom w:val="single" w:sz="4" w:space="0" w:color="E5E7EB"/>
              <w:right w:val="none" w:sz="4" w:space="0" w:color="auto"/>
            </w:tcBorders>
          </w:tcPr>
          <w:p>
            <w:pPr>
              <w:spacing w:before="0" w:after="0" w:line="276" w:lineRule="auto"/>
            </w:pPr>
            <w:r>
              <w:rPr>
                <w:rFonts w:ascii="Arial" w:hAnsi="Arial"/>
                <w:b/>
                <w:color w:val="059669"/>
                <w:sz w:val="17"/>
              </w:rPr>
              <w:t>High Match (90%)</w:t>
            </w:r>
          </w:p>
        </w:tc>
      </w:tr>
      <w:tr>
        <w:tc>
          <w:tcPr>
            <w:tcW w:type="dxa" w:w="2016"/>
            <w:shd w:fill="FFFFFF"/>
            <w:tcMar>
              <w:top w:w="100" w:type="dxa"/>
              <w:bottom w:w="100" w:type="dxa"/>
              <w:left w:w="100" w:type="dxa"/>
              <w:right w:w="100" w:type="dxa"/>
            </w:tcMar>
            <w:tcBorders>
              <w:top w:val="single" w:sz="4" w:space="0" w:color="E5E7EB"/>
              <w:left w:val="none" w:sz="4" w:space="0" w:color="auto"/>
              <w:bottom w:val="single" w:sz="4" w:space="0" w:color="E5E7EB"/>
              <w:right w:val="none" w:sz="4" w:space="0" w:color="auto"/>
            </w:tcBorders>
          </w:tcPr>
          <w:p>
            <w:pPr>
              <w:spacing w:before="0" w:after="0" w:line="276" w:lineRule="auto"/>
            </w:pPr>
            <w:r>
              <w:rPr>
                <w:rFonts w:ascii="Arial" w:hAnsi="Arial"/>
                <w:b/>
                <w:color w:val="1F2937"/>
                <w:sz w:val="17"/>
              </w:rPr>
              <w:t>External Glass Door</w:t>
            </w:r>
          </w:p>
        </w:tc>
        <w:tc>
          <w:tcPr>
            <w:tcW w:type="dxa" w:w="1584"/>
            <w:shd w:fill="FFFFFF"/>
            <w:tcMar>
              <w:top w:w="100" w:type="dxa"/>
              <w:bottom w:w="100" w:type="dxa"/>
              <w:left w:w="100" w:type="dxa"/>
              <w:right w:w="100" w:type="dxa"/>
            </w:tcMar>
            <w:tcBorders>
              <w:top w:val="single" w:sz="4" w:space="0" w:color="E5E7EB"/>
              <w:left w:val="none" w:sz="4" w:space="0" w:color="auto"/>
              <w:bottom w:val="single" w:sz="4" w:space="0" w:color="E5E7EB"/>
              <w:right w:val="none" w:sz="4" w:space="0" w:color="auto"/>
            </w:tcBorders>
          </w:tcPr>
          <w:p>
            <w:pPr>
              <w:spacing w:before="0" w:after="0" w:line="276" w:lineRule="auto"/>
            </w:pPr>
            <w:r>
              <w:rPr>
                <w:rFonts w:ascii="Arial" w:hAnsi="Arial"/>
                <w:color w:val="1F2937"/>
                <w:sz w:val="17"/>
              </w:rPr>
              <w:t>E0303_Portone_esterno</w:t>
            </w:r>
          </w:p>
        </w:tc>
        <w:tc>
          <w:tcPr>
            <w:tcW w:type="dxa" w:w="1872"/>
            <w:shd w:fill="FFFFFF"/>
            <w:tcMar>
              <w:top w:w="100" w:type="dxa"/>
              <w:bottom w:w="100" w:type="dxa"/>
              <w:left w:w="100" w:type="dxa"/>
              <w:right w:w="100" w:type="dxa"/>
            </w:tcMar>
            <w:tcBorders>
              <w:top w:val="single" w:sz="4" w:space="0" w:color="E5E7EB"/>
              <w:left w:val="none" w:sz="4" w:space="0" w:color="auto"/>
              <w:bottom w:val="single" w:sz="4" w:space="0" w:color="E5E7EB"/>
              <w:right w:val="none" w:sz="4" w:space="0" w:color="auto"/>
            </w:tcBorders>
          </w:tcPr>
          <w:p>
            <w:pPr>
              <w:spacing w:before="0" w:after="0" w:line="276" w:lineRule="auto"/>
            </w:pPr>
            <w:r>
              <w:rPr>
                <w:rFonts w:ascii="Arial" w:hAnsi="Arial"/>
                <w:color w:val="1F2937"/>
                <w:sz w:val="17"/>
              </w:rPr>
              <w:t>1.05 m x 2.30 m</w:t>
            </w:r>
          </w:p>
        </w:tc>
        <w:tc>
          <w:tcPr>
            <w:tcW w:type="dxa" w:w="2016"/>
            <w:shd w:fill="FFFFFF"/>
            <w:tcMar>
              <w:top w:w="100" w:type="dxa"/>
              <w:bottom w:w="100" w:type="dxa"/>
              <w:left w:w="100" w:type="dxa"/>
              <w:right w:w="100" w:type="dxa"/>
            </w:tcMar>
            <w:tcBorders>
              <w:top w:val="single" w:sz="4" w:space="0" w:color="E5E7EB"/>
              <w:left w:val="none" w:sz="4" w:space="0" w:color="auto"/>
              <w:bottom w:val="single" w:sz="4" w:space="0" w:color="E5E7EB"/>
              <w:right w:val="none" w:sz="4" w:space="0" w:color="auto"/>
            </w:tcBorders>
          </w:tcPr>
          <w:p>
            <w:pPr>
              <w:spacing w:before="0" w:after="0" w:line="276" w:lineRule="auto"/>
            </w:pPr>
            <w:r>
              <w:rPr>
                <w:rFonts w:ascii="Arial" w:hAnsi="Arial"/>
                <w:color w:val="1F2937"/>
                <w:sz w:val="17"/>
              </w:rPr>
              <w:t>1.00 m x 2.10 m</w:t>
              <w:br/>
              <w:t>(G0105_Porta_interna)</w:t>
            </w:r>
          </w:p>
        </w:tc>
        <w:tc>
          <w:tcPr>
            <w:tcW w:type="dxa" w:w="1541"/>
            <w:shd w:fill="FFFFFF"/>
            <w:tcMar>
              <w:top w:w="100" w:type="dxa"/>
              <w:bottom w:w="100" w:type="dxa"/>
              <w:left w:w="100" w:type="dxa"/>
              <w:right w:w="100" w:type="dxa"/>
            </w:tcMar>
            <w:tcBorders>
              <w:top w:val="single" w:sz="4" w:space="0" w:color="E5E7EB"/>
              <w:left w:val="none" w:sz="4" w:space="0" w:color="auto"/>
              <w:bottom w:val="single" w:sz="4" w:space="0" w:color="E5E7EB"/>
              <w:right w:val="none" w:sz="4" w:space="0" w:color="auto"/>
            </w:tcBorders>
          </w:tcPr>
          <w:p>
            <w:pPr>
              <w:spacing w:before="0" w:after="0" w:line="276" w:lineRule="auto"/>
            </w:pPr>
            <w:r>
              <w:rPr>
                <w:rFonts w:ascii="Arial" w:hAnsi="Arial"/>
                <w:b/>
                <w:color w:val="2563EB"/>
                <w:sz w:val="17"/>
              </w:rPr>
              <w:t>Semantic Match (85%)</w:t>
            </w:r>
          </w:p>
        </w:tc>
      </w:tr>
      <w:tr>
        <w:tc>
          <w:tcPr>
            <w:tcW w:type="dxa" w:w="2016"/>
            <w:shd w:fill="F3F4F6"/>
            <w:tcMar>
              <w:top w:w="100" w:type="dxa"/>
              <w:bottom w:w="100" w:type="dxa"/>
              <w:left w:w="100" w:type="dxa"/>
              <w:right w:w="100" w:type="dxa"/>
            </w:tcMar>
            <w:tcBorders>
              <w:top w:val="single" w:sz="4" w:space="0" w:color="E5E7EB"/>
              <w:left w:val="none" w:sz="4" w:space="0" w:color="auto"/>
              <w:bottom w:val="single" w:sz="4" w:space="0" w:color="E5E7EB"/>
              <w:right w:val="none" w:sz="4" w:space="0" w:color="auto"/>
            </w:tcBorders>
          </w:tcPr>
          <w:p>
            <w:pPr>
              <w:spacing w:before="0" w:after="0" w:line="276" w:lineRule="auto"/>
            </w:pPr>
            <w:r>
              <w:rPr>
                <w:rFonts w:ascii="Arial" w:hAnsi="Arial"/>
                <w:b/>
                <w:color w:val="1F2937"/>
                <w:sz w:val="17"/>
              </w:rPr>
              <w:t>Gas Condensing Boiler</w:t>
            </w:r>
          </w:p>
        </w:tc>
        <w:tc>
          <w:tcPr>
            <w:tcW w:type="dxa" w:w="1584"/>
            <w:shd w:fill="F3F4F6"/>
            <w:tcMar>
              <w:top w:w="100" w:type="dxa"/>
              <w:bottom w:w="100" w:type="dxa"/>
              <w:left w:w="100" w:type="dxa"/>
              <w:right w:w="100" w:type="dxa"/>
            </w:tcMar>
            <w:tcBorders>
              <w:top w:val="single" w:sz="4" w:space="0" w:color="E5E7EB"/>
              <w:left w:val="none" w:sz="4" w:space="0" w:color="auto"/>
              <w:bottom w:val="single" w:sz="4" w:space="0" w:color="E5E7EB"/>
              <w:right w:val="none" w:sz="4" w:space="0" w:color="auto"/>
            </w:tcBorders>
          </w:tcPr>
          <w:p>
            <w:pPr>
              <w:spacing w:before="0" w:after="0" w:line="276" w:lineRule="auto"/>
            </w:pPr>
            <w:r>
              <w:rPr>
                <w:rFonts w:ascii="Arial" w:hAnsi="Arial"/>
                <w:color w:val="1F2937"/>
                <w:sz w:val="17"/>
              </w:rPr>
              <w:t>D0502_Produzione</w:t>
            </w:r>
          </w:p>
        </w:tc>
        <w:tc>
          <w:tcPr>
            <w:tcW w:type="dxa" w:w="1872"/>
            <w:shd w:fill="F3F4F6"/>
            <w:tcMar>
              <w:top w:w="100" w:type="dxa"/>
              <w:bottom w:w="100" w:type="dxa"/>
              <w:left w:w="100" w:type="dxa"/>
              <w:right w:w="100" w:type="dxa"/>
            </w:tcMar>
            <w:tcBorders>
              <w:top w:val="single" w:sz="4" w:space="0" w:color="E5E7EB"/>
              <w:left w:val="none" w:sz="4" w:space="0" w:color="auto"/>
              <w:bottom w:val="single" w:sz="4" w:space="0" w:color="E5E7EB"/>
              <w:right w:val="none" w:sz="4" w:space="0" w:color="auto"/>
            </w:tcBorders>
          </w:tcPr>
          <w:p>
            <w:pPr>
              <w:spacing w:before="0" w:after="0" w:line="276" w:lineRule="auto"/>
            </w:pPr>
            <w:r>
              <w:rPr>
                <w:rFonts w:ascii="Arial" w:hAnsi="Arial"/>
                <w:color w:val="1F2937"/>
                <w:sz w:val="17"/>
              </w:rPr>
              <w:t>0.65 m x 0.85 m x 0.70 m</w:t>
            </w:r>
          </w:p>
        </w:tc>
        <w:tc>
          <w:tcPr>
            <w:tcW w:type="dxa" w:w="2016"/>
            <w:shd w:fill="F3F4F6"/>
            <w:tcMar>
              <w:top w:w="100" w:type="dxa"/>
              <w:bottom w:w="100" w:type="dxa"/>
              <w:left w:w="100" w:type="dxa"/>
              <w:right w:w="100" w:type="dxa"/>
            </w:tcMar>
            <w:tcBorders>
              <w:top w:val="single" w:sz="4" w:space="0" w:color="E5E7EB"/>
              <w:left w:val="none" w:sz="4" w:space="0" w:color="auto"/>
              <w:bottom w:val="single" w:sz="4" w:space="0" w:color="E5E7EB"/>
              <w:right w:val="none" w:sz="4" w:space="0" w:color="auto"/>
            </w:tcBorders>
          </w:tcPr>
          <w:p>
            <w:pPr>
              <w:spacing w:before="0" w:after="0" w:line="276" w:lineRule="auto"/>
            </w:pPr>
            <w:r>
              <w:rPr>
                <w:rFonts w:ascii="Arial" w:hAnsi="Arial"/>
                <w:color w:val="1F2937"/>
                <w:sz w:val="17"/>
              </w:rPr>
              <w:t>0.60 m x 0.40 m x 0.80 m</w:t>
              <w:br/>
              <w:t>(D0501_Caldaia)</w:t>
            </w:r>
          </w:p>
        </w:tc>
        <w:tc>
          <w:tcPr>
            <w:tcW w:type="dxa" w:w="1541"/>
            <w:shd w:fill="F3F4F6"/>
            <w:tcMar>
              <w:top w:w="100" w:type="dxa"/>
              <w:bottom w:w="100" w:type="dxa"/>
              <w:left w:w="100" w:type="dxa"/>
              <w:right w:w="100" w:type="dxa"/>
            </w:tcMar>
            <w:tcBorders>
              <w:top w:val="single" w:sz="4" w:space="0" w:color="E5E7EB"/>
              <w:left w:val="none" w:sz="4" w:space="0" w:color="auto"/>
              <w:bottom w:val="single" w:sz="4" w:space="0" w:color="E5E7EB"/>
              <w:right w:val="none" w:sz="4" w:space="0" w:color="auto"/>
            </w:tcBorders>
          </w:tcPr>
          <w:p>
            <w:pPr>
              <w:spacing w:before="0" w:after="0" w:line="276" w:lineRule="auto"/>
            </w:pPr>
            <w:r>
              <w:rPr>
                <w:rFonts w:ascii="Arial" w:hAnsi="Arial"/>
                <w:b/>
                <w:color w:val="059669"/>
                <w:sz w:val="17"/>
              </w:rPr>
              <w:t>High Plausibility (82%)</w:t>
            </w:r>
          </w:p>
        </w:tc>
      </w:tr>
      <w:tr>
        <w:tc>
          <w:tcPr>
            <w:tcW w:type="dxa" w:w="2016"/>
            <w:shd w:fill="FFFFFF"/>
            <w:tcMar>
              <w:top w:w="100" w:type="dxa"/>
              <w:bottom w:w="100" w:type="dxa"/>
              <w:left w:w="100" w:type="dxa"/>
              <w:right w:w="100" w:type="dxa"/>
            </w:tcMar>
            <w:tcBorders>
              <w:top w:val="single" w:sz="4" w:space="0" w:color="E5E7EB"/>
              <w:left w:val="none" w:sz="4" w:space="0" w:color="auto"/>
              <w:bottom w:val="single" w:sz="4" w:space="0" w:color="E5E7EB"/>
              <w:right w:val="none" w:sz="4" w:space="0" w:color="auto"/>
            </w:tcBorders>
          </w:tcPr>
          <w:p>
            <w:pPr>
              <w:spacing w:before="0" w:after="0" w:line="276" w:lineRule="auto"/>
            </w:pPr>
            <w:r>
              <w:rPr>
                <w:rFonts w:ascii="Arial" w:hAnsi="Arial"/>
                <w:b/>
                <w:color w:val="1F2937"/>
                <w:sz w:val="17"/>
              </w:rPr>
              <w:t>Steel Column (HEA 260)</w:t>
            </w:r>
          </w:p>
        </w:tc>
        <w:tc>
          <w:tcPr>
            <w:tcW w:type="dxa" w:w="1584"/>
            <w:shd w:fill="FFFFFF"/>
            <w:tcMar>
              <w:top w:w="100" w:type="dxa"/>
              <w:bottom w:w="100" w:type="dxa"/>
              <w:left w:w="100" w:type="dxa"/>
              <w:right w:w="100" w:type="dxa"/>
            </w:tcMar>
            <w:tcBorders>
              <w:top w:val="single" w:sz="4" w:space="0" w:color="E5E7EB"/>
              <w:left w:val="none" w:sz="4" w:space="0" w:color="auto"/>
              <w:bottom w:val="single" w:sz="4" w:space="0" w:color="E5E7EB"/>
              <w:right w:val="none" w:sz="4" w:space="0" w:color="auto"/>
            </w:tcBorders>
          </w:tcPr>
          <w:p>
            <w:pPr>
              <w:spacing w:before="0" w:after="0" w:line="276" w:lineRule="auto"/>
            </w:pPr>
            <w:r>
              <w:rPr>
                <w:rFonts w:ascii="Arial" w:hAnsi="Arial"/>
                <w:color w:val="1F2937"/>
                <w:sz w:val="17"/>
              </w:rPr>
              <w:t>C0302_Pilastro</w:t>
            </w:r>
          </w:p>
        </w:tc>
        <w:tc>
          <w:tcPr>
            <w:tcW w:type="dxa" w:w="1872"/>
            <w:shd w:fill="FFFFFF"/>
            <w:tcMar>
              <w:top w:w="100" w:type="dxa"/>
              <w:bottom w:w="100" w:type="dxa"/>
              <w:left w:w="100" w:type="dxa"/>
              <w:right w:w="100" w:type="dxa"/>
            </w:tcMar>
            <w:tcBorders>
              <w:top w:val="single" w:sz="4" w:space="0" w:color="E5E7EB"/>
              <w:left w:val="none" w:sz="4" w:space="0" w:color="auto"/>
              <w:bottom w:val="single" w:sz="4" w:space="0" w:color="E5E7EB"/>
              <w:right w:val="none" w:sz="4" w:space="0" w:color="auto"/>
            </w:tcBorders>
          </w:tcPr>
          <w:p>
            <w:pPr>
              <w:spacing w:before="0" w:after="0" w:line="276" w:lineRule="auto"/>
            </w:pPr>
            <w:r>
              <w:rPr>
                <w:rFonts w:ascii="Arial" w:hAnsi="Arial"/>
                <w:color w:val="1F2937"/>
                <w:sz w:val="17"/>
              </w:rPr>
              <w:t>205 kg (linear profile)</w:t>
            </w:r>
          </w:p>
        </w:tc>
        <w:tc>
          <w:tcPr>
            <w:tcW w:type="dxa" w:w="2016"/>
            <w:shd w:fill="FFFFFF"/>
            <w:tcMar>
              <w:top w:w="100" w:type="dxa"/>
              <w:bottom w:w="100" w:type="dxa"/>
              <w:left w:w="100" w:type="dxa"/>
              <w:right w:w="100" w:type="dxa"/>
            </w:tcMar>
            <w:tcBorders>
              <w:top w:val="single" w:sz="4" w:space="0" w:color="E5E7EB"/>
              <w:left w:val="none" w:sz="4" w:space="0" w:color="auto"/>
              <w:bottom w:val="single" w:sz="4" w:space="0" w:color="E5E7EB"/>
              <w:right w:val="none" w:sz="4" w:space="0" w:color="auto"/>
            </w:tcBorders>
          </w:tcPr>
          <w:p>
            <w:pPr>
              <w:spacing w:before="0" w:after="0" w:line="276" w:lineRule="auto"/>
            </w:pPr>
            <w:r>
              <w:rPr>
                <w:rFonts w:ascii="Arial" w:hAnsi="Arial"/>
                <w:color w:val="1F2937"/>
                <w:sz w:val="17"/>
              </w:rPr>
              <w:t>0.20 m x 0.20 m x 3.00 m</w:t>
              <w:br/>
              <w:t>(C0302_Pilastro)</w:t>
            </w:r>
          </w:p>
        </w:tc>
        <w:tc>
          <w:tcPr>
            <w:tcW w:type="dxa" w:w="1541"/>
            <w:shd w:fill="FFFFFF"/>
            <w:tcMar>
              <w:top w:w="100" w:type="dxa"/>
              <w:bottom w:w="100" w:type="dxa"/>
              <w:left w:w="100" w:type="dxa"/>
              <w:right w:w="100" w:type="dxa"/>
            </w:tcMar>
            <w:tcBorders>
              <w:top w:val="single" w:sz="4" w:space="0" w:color="E5E7EB"/>
              <w:left w:val="none" w:sz="4" w:space="0" w:color="auto"/>
              <w:bottom w:val="single" w:sz="4" w:space="0" w:color="E5E7EB"/>
              <w:right w:val="none" w:sz="4" w:space="0" w:color="auto"/>
            </w:tcBorders>
          </w:tcPr>
          <w:p>
            <w:pPr>
              <w:spacing w:before="0" w:after="0" w:line="276" w:lineRule="auto"/>
            </w:pPr>
            <w:r>
              <w:rPr>
                <w:rFonts w:ascii="Arial" w:hAnsi="Arial"/>
                <w:b/>
                <w:color w:val="059669"/>
                <w:sz w:val="17"/>
              </w:rPr>
              <w:t>High Plausibility (80%)</w:t>
            </w:r>
          </w:p>
        </w:tc>
      </w:tr>
      <w:tr>
        <w:tc>
          <w:tcPr>
            <w:tcW w:type="dxa" w:w="2016"/>
            <w:shd w:fill="F3F4F6"/>
            <w:tcMar>
              <w:top w:w="100" w:type="dxa"/>
              <w:bottom w:w="100" w:type="dxa"/>
              <w:left w:w="100" w:type="dxa"/>
              <w:right w:w="100" w:type="dxa"/>
            </w:tcMar>
            <w:tcBorders>
              <w:top w:val="single" w:sz="4" w:space="0" w:color="E5E7EB"/>
              <w:left w:val="none" w:sz="4" w:space="0" w:color="auto"/>
              <w:bottom w:val="single" w:sz="4" w:space="0" w:color="E5E7EB"/>
              <w:right w:val="none" w:sz="4" w:space="0" w:color="auto"/>
            </w:tcBorders>
          </w:tcPr>
          <w:p>
            <w:pPr>
              <w:spacing w:before="0" w:after="0" w:line="276" w:lineRule="auto"/>
            </w:pPr>
            <w:r>
              <w:rPr>
                <w:rFonts w:ascii="Arial" w:hAnsi="Arial"/>
                <w:b/>
                <w:color w:val="1F2937"/>
                <w:sz w:val="17"/>
              </w:rPr>
              <w:t>Stainless Steel Sink</w:t>
            </w:r>
          </w:p>
        </w:tc>
        <w:tc>
          <w:tcPr>
            <w:tcW w:type="dxa" w:w="1584"/>
            <w:shd w:fill="F3F4F6"/>
            <w:tcMar>
              <w:top w:w="100" w:type="dxa"/>
              <w:bottom w:w="100" w:type="dxa"/>
              <w:left w:w="100" w:type="dxa"/>
              <w:right w:w="100" w:type="dxa"/>
            </w:tcMar>
            <w:tcBorders>
              <w:top w:val="single" w:sz="4" w:space="0" w:color="E5E7EB"/>
              <w:left w:val="none" w:sz="4" w:space="0" w:color="auto"/>
              <w:bottom w:val="single" w:sz="4" w:space="0" w:color="E5E7EB"/>
              <w:right w:val="none" w:sz="4" w:space="0" w:color="auto"/>
            </w:tcBorders>
          </w:tcPr>
          <w:p>
            <w:pPr>
              <w:spacing w:before="0" w:after="0" w:line="276" w:lineRule="auto"/>
            </w:pPr>
            <w:r>
              <w:rPr>
                <w:rFonts w:ascii="Arial" w:hAnsi="Arial"/>
                <w:color w:val="1F2937"/>
                <w:sz w:val="17"/>
              </w:rPr>
              <w:t>D0805_Rubinetteria</w:t>
            </w:r>
          </w:p>
        </w:tc>
        <w:tc>
          <w:tcPr>
            <w:tcW w:type="dxa" w:w="1872"/>
            <w:shd w:fill="F3F4F6"/>
            <w:tcMar>
              <w:top w:w="100" w:type="dxa"/>
              <w:bottom w:w="100" w:type="dxa"/>
              <w:left w:w="100" w:type="dxa"/>
              <w:right w:w="100" w:type="dxa"/>
            </w:tcMar>
            <w:tcBorders>
              <w:top w:val="single" w:sz="4" w:space="0" w:color="E5E7EB"/>
              <w:left w:val="none" w:sz="4" w:space="0" w:color="auto"/>
              <w:bottom w:val="single" w:sz="4" w:space="0" w:color="E5E7EB"/>
              <w:right w:val="none" w:sz="4" w:space="0" w:color="auto"/>
            </w:tcBorders>
          </w:tcPr>
          <w:p>
            <w:pPr>
              <w:spacing w:before="0" w:after="0" w:line="276" w:lineRule="auto"/>
            </w:pPr>
            <w:r>
              <w:rPr>
                <w:rFonts w:ascii="Arial" w:hAnsi="Arial"/>
                <w:color w:val="1F2937"/>
                <w:sz w:val="17"/>
              </w:rPr>
              <w:t>1.80 m x 0.40 m x 0.25 m</w:t>
            </w:r>
          </w:p>
        </w:tc>
        <w:tc>
          <w:tcPr>
            <w:tcW w:type="dxa" w:w="2016"/>
            <w:shd w:fill="F3F4F6"/>
            <w:tcMar>
              <w:top w:w="100" w:type="dxa"/>
              <w:bottom w:w="100" w:type="dxa"/>
              <w:left w:w="100" w:type="dxa"/>
              <w:right w:w="100" w:type="dxa"/>
            </w:tcMar>
            <w:tcBorders>
              <w:top w:val="single" w:sz="4" w:space="0" w:color="E5E7EB"/>
              <w:left w:val="none" w:sz="4" w:space="0" w:color="auto"/>
              <w:bottom w:val="single" w:sz="4" w:space="0" w:color="E5E7EB"/>
              <w:right w:val="none" w:sz="4" w:space="0" w:color="auto"/>
            </w:tcBorders>
          </w:tcPr>
          <w:p>
            <w:pPr>
              <w:spacing w:before="0" w:after="0" w:line="276" w:lineRule="auto"/>
            </w:pPr>
            <w:r>
              <w:rPr>
                <w:rFonts w:ascii="Arial" w:hAnsi="Arial"/>
                <w:color w:val="1F2937"/>
                <w:sz w:val="17"/>
              </w:rPr>
              <w:t>1.50 m x 0.50 m</w:t>
              <w:br/>
              <w:t>(G0402_Rivestimento)</w:t>
            </w:r>
          </w:p>
        </w:tc>
        <w:tc>
          <w:tcPr>
            <w:tcW w:type="dxa" w:w="1541"/>
            <w:shd w:fill="F3F4F6"/>
            <w:tcMar>
              <w:top w:w="100" w:type="dxa"/>
              <w:bottom w:w="100" w:type="dxa"/>
              <w:left w:w="100" w:type="dxa"/>
              <w:right w:w="100" w:type="dxa"/>
            </w:tcMar>
            <w:tcBorders>
              <w:top w:val="single" w:sz="4" w:space="0" w:color="E5E7EB"/>
              <w:left w:val="none" w:sz="4" w:space="0" w:color="auto"/>
              <w:bottom w:val="single" w:sz="4" w:space="0" w:color="E5E7EB"/>
              <w:right w:val="none" w:sz="4" w:space="0" w:color="auto"/>
            </w:tcBorders>
          </w:tcPr>
          <w:p>
            <w:pPr>
              <w:spacing w:before="0" w:after="0" w:line="276" w:lineRule="auto"/>
            </w:pPr>
            <w:r>
              <w:rPr>
                <w:rFonts w:ascii="Arial" w:hAnsi="Arial"/>
                <w:b/>
                <w:color w:val="2563EB"/>
                <w:sz w:val="17"/>
              </w:rPr>
              <w:t>Code Shift (79% Dim)</w:t>
            </w:r>
          </w:p>
        </w:tc>
      </w:tr>
      <w:tr>
        <w:tc>
          <w:tcPr>
            <w:tcW w:type="dxa" w:w="2016"/>
            <w:shd w:fill="FFFFFF"/>
            <w:tcMar>
              <w:top w:w="100" w:type="dxa"/>
              <w:bottom w:w="100" w:type="dxa"/>
              <w:left w:w="100" w:type="dxa"/>
              <w:right w:w="100" w:type="dxa"/>
            </w:tcMar>
            <w:tcBorders>
              <w:top w:val="single" w:sz="4" w:space="0" w:color="E5E7EB"/>
              <w:left w:val="none" w:sz="4" w:space="0" w:color="auto"/>
              <w:bottom w:val="single" w:sz="4" w:space="0" w:color="E5E7EB"/>
              <w:right w:val="none" w:sz="4" w:space="0" w:color="auto"/>
            </w:tcBorders>
          </w:tcPr>
          <w:p>
            <w:pPr>
              <w:spacing w:before="0" w:after="0" w:line="276" w:lineRule="auto"/>
            </w:pPr>
            <w:r>
              <w:rPr>
                <w:rFonts w:ascii="Arial" w:hAnsi="Arial"/>
                <w:b/>
                <w:color w:val="1F2937"/>
                <w:sz w:val="17"/>
              </w:rPr>
              <w:t>External Steel Staircase</w:t>
            </w:r>
          </w:p>
        </w:tc>
        <w:tc>
          <w:tcPr>
            <w:tcW w:type="dxa" w:w="1584"/>
            <w:shd w:fill="FFFFFF"/>
            <w:tcMar>
              <w:top w:w="100" w:type="dxa"/>
              <w:bottom w:w="100" w:type="dxa"/>
              <w:left w:w="100" w:type="dxa"/>
              <w:right w:w="100" w:type="dxa"/>
            </w:tcMar>
            <w:tcBorders>
              <w:top w:val="single" w:sz="4" w:space="0" w:color="E5E7EB"/>
              <w:left w:val="none" w:sz="4" w:space="0" w:color="auto"/>
              <w:bottom w:val="single" w:sz="4" w:space="0" w:color="E5E7EB"/>
              <w:right w:val="none" w:sz="4" w:space="0" w:color="auto"/>
            </w:tcBorders>
          </w:tcPr>
          <w:p>
            <w:pPr>
              <w:spacing w:before="0" w:after="0" w:line="276" w:lineRule="auto"/>
            </w:pPr>
            <w:r>
              <w:rPr>
                <w:rFonts w:ascii="Arial" w:hAnsi="Arial"/>
                <w:color w:val="1F2937"/>
                <w:sz w:val="17"/>
              </w:rPr>
              <w:t>I0204_Scala_rampa</w:t>
            </w:r>
          </w:p>
        </w:tc>
        <w:tc>
          <w:tcPr>
            <w:tcW w:type="dxa" w:w="1872"/>
            <w:shd w:fill="FFFFFF"/>
            <w:tcMar>
              <w:top w:w="100" w:type="dxa"/>
              <w:bottom w:w="100" w:type="dxa"/>
              <w:left w:w="100" w:type="dxa"/>
              <w:right w:w="100" w:type="dxa"/>
            </w:tcMar>
            <w:tcBorders>
              <w:top w:val="single" w:sz="4" w:space="0" w:color="E5E7EB"/>
              <w:left w:val="none" w:sz="4" w:space="0" w:color="auto"/>
              <w:bottom w:val="single" w:sz="4" w:space="0" w:color="E5E7EB"/>
              <w:right w:val="none" w:sz="4" w:space="0" w:color="auto"/>
            </w:tcBorders>
          </w:tcPr>
          <w:p>
            <w:pPr>
              <w:spacing w:before="0" w:after="0" w:line="276" w:lineRule="auto"/>
            </w:pPr>
            <w:r>
              <w:rPr>
                <w:rFonts w:ascii="Arial" w:hAnsi="Arial"/>
                <w:color w:val="1F2937"/>
                <w:sz w:val="17"/>
              </w:rPr>
              <w:t>220 kg (flight mass)</w:t>
            </w:r>
          </w:p>
        </w:tc>
        <w:tc>
          <w:tcPr>
            <w:tcW w:type="dxa" w:w="2016"/>
            <w:shd w:fill="FFFFFF"/>
            <w:tcMar>
              <w:top w:w="100" w:type="dxa"/>
              <w:bottom w:w="100" w:type="dxa"/>
              <w:left w:w="100" w:type="dxa"/>
              <w:right w:w="100" w:type="dxa"/>
            </w:tcMar>
            <w:tcBorders>
              <w:top w:val="single" w:sz="4" w:space="0" w:color="E5E7EB"/>
              <w:left w:val="none" w:sz="4" w:space="0" w:color="auto"/>
              <w:bottom w:val="single" w:sz="4" w:space="0" w:color="E5E7EB"/>
              <w:right w:val="none" w:sz="4" w:space="0" w:color="auto"/>
            </w:tcBorders>
          </w:tcPr>
          <w:p>
            <w:pPr>
              <w:spacing w:before="0" w:after="0" w:line="276" w:lineRule="auto"/>
            </w:pPr>
            <w:r>
              <w:rPr>
                <w:rFonts w:ascii="Arial" w:hAnsi="Arial"/>
                <w:color w:val="1F2937"/>
                <w:sz w:val="17"/>
              </w:rPr>
              <w:t>2.50 m x 1.20 m x 0.30 m</w:t>
              <w:br/>
              <w:t>(I0201_Scala_metallo)</w:t>
            </w:r>
          </w:p>
        </w:tc>
        <w:tc>
          <w:tcPr>
            <w:tcW w:type="dxa" w:w="1541"/>
            <w:shd w:fill="FFFFFF"/>
            <w:tcMar>
              <w:top w:w="100" w:type="dxa"/>
              <w:bottom w:w="100" w:type="dxa"/>
              <w:left w:w="100" w:type="dxa"/>
              <w:right w:w="100" w:type="dxa"/>
            </w:tcMar>
            <w:tcBorders>
              <w:top w:val="single" w:sz="4" w:space="0" w:color="E5E7EB"/>
              <w:left w:val="none" w:sz="4" w:space="0" w:color="auto"/>
              <w:bottom w:val="single" w:sz="4" w:space="0" w:color="E5E7EB"/>
              <w:right w:val="none" w:sz="4" w:space="0" w:color="auto"/>
            </w:tcBorders>
          </w:tcPr>
          <w:p>
            <w:pPr>
              <w:spacing w:before="0" w:after="0" w:line="276" w:lineRule="auto"/>
            </w:pPr>
            <w:r>
              <w:rPr>
                <w:rFonts w:ascii="Arial" w:hAnsi="Arial"/>
                <w:b/>
                <w:color w:val="DC2626"/>
                <w:sz w:val="17"/>
              </w:rPr>
              <w:t>Hallucinated Suffix</w:t>
            </w:r>
          </w:p>
        </w:tc>
      </w:tr>
      <w:tr>
        <w:tc>
          <w:tcPr>
            <w:tcW w:type="dxa" w:w="2016"/>
            <w:shd w:fill="F3F4F6"/>
            <w:tcMar>
              <w:top w:w="100" w:type="dxa"/>
              <w:bottom w:w="100" w:type="dxa"/>
              <w:left w:w="100" w:type="dxa"/>
              <w:right w:w="100" w:type="dxa"/>
            </w:tcMar>
            <w:tcBorders>
              <w:top w:val="single" w:sz="4" w:space="0" w:color="E5E7EB"/>
              <w:left w:val="none" w:sz="4" w:space="0" w:color="auto"/>
              <w:bottom w:val="single" w:sz="4" w:space="0" w:color="E5E7EB"/>
              <w:right w:val="none" w:sz="4" w:space="0" w:color="auto"/>
            </w:tcBorders>
          </w:tcPr>
          <w:p>
            <w:pPr>
              <w:spacing w:before="0" w:after="0" w:line="276" w:lineRule="auto"/>
            </w:pPr>
            <w:r>
              <w:rPr>
                <w:rFonts w:ascii="Arial" w:hAnsi="Arial"/>
                <w:b/>
                <w:color w:val="1F2937"/>
                <w:sz w:val="17"/>
              </w:rPr>
              <w:t>Terracotta Floor Tile</w:t>
            </w:r>
          </w:p>
        </w:tc>
        <w:tc>
          <w:tcPr>
            <w:tcW w:type="dxa" w:w="1584"/>
            <w:shd w:fill="F3F4F6"/>
            <w:tcMar>
              <w:top w:w="100" w:type="dxa"/>
              <w:bottom w:w="100" w:type="dxa"/>
              <w:left w:w="100" w:type="dxa"/>
              <w:right w:w="100" w:type="dxa"/>
            </w:tcMar>
            <w:tcBorders>
              <w:top w:val="single" w:sz="4" w:space="0" w:color="E5E7EB"/>
              <w:left w:val="none" w:sz="4" w:space="0" w:color="auto"/>
              <w:bottom w:val="single" w:sz="4" w:space="0" w:color="E5E7EB"/>
              <w:right w:val="none" w:sz="4" w:space="0" w:color="auto"/>
            </w:tcBorders>
          </w:tcPr>
          <w:p>
            <w:pPr>
              <w:spacing w:before="0" w:after="0" w:line="276" w:lineRule="auto"/>
            </w:pPr>
            <w:r>
              <w:rPr>
                <w:rFonts w:ascii="Arial" w:hAnsi="Arial"/>
                <w:color w:val="1F2937"/>
                <w:sz w:val="17"/>
              </w:rPr>
              <w:t>G0202_Pavimento</w:t>
            </w:r>
          </w:p>
        </w:tc>
        <w:tc>
          <w:tcPr>
            <w:tcW w:type="dxa" w:w="1872"/>
            <w:shd w:fill="F3F4F6"/>
            <w:tcMar>
              <w:top w:w="100" w:type="dxa"/>
              <w:bottom w:w="100" w:type="dxa"/>
              <w:left w:w="100" w:type="dxa"/>
              <w:right w:w="100" w:type="dxa"/>
            </w:tcMar>
            <w:tcBorders>
              <w:top w:val="single" w:sz="4" w:space="0" w:color="E5E7EB"/>
              <w:left w:val="none" w:sz="4" w:space="0" w:color="auto"/>
              <w:bottom w:val="single" w:sz="4" w:space="0" w:color="E5E7EB"/>
              <w:right w:val="none" w:sz="4" w:space="0" w:color="auto"/>
            </w:tcBorders>
          </w:tcPr>
          <w:p>
            <w:pPr>
              <w:spacing w:before="0" w:after="0" w:line="276" w:lineRule="auto"/>
            </w:pPr>
            <w:r>
              <w:rPr>
                <w:rFonts w:ascii="Arial" w:hAnsi="Arial"/>
                <w:color w:val="1F2937"/>
                <w:sz w:val="17"/>
              </w:rPr>
              <w:t>0.40 m x 0.20 m</w:t>
            </w:r>
          </w:p>
        </w:tc>
        <w:tc>
          <w:tcPr>
            <w:tcW w:type="dxa" w:w="2016"/>
            <w:shd w:fill="F3F4F6"/>
            <w:tcMar>
              <w:top w:w="100" w:type="dxa"/>
              <w:bottom w:w="100" w:type="dxa"/>
              <w:left w:w="100" w:type="dxa"/>
              <w:right w:w="100" w:type="dxa"/>
            </w:tcMar>
            <w:tcBorders>
              <w:top w:val="single" w:sz="4" w:space="0" w:color="E5E7EB"/>
              <w:left w:val="none" w:sz="4" w:space="0" w:color="auto"/>
              <w:bottom w:val="single" w:sz="4" w:space="0" w:color="E5E7EB"/>
              <w:right w:val="none" w:sz="4" w:space="0" w:color="auto"/>
            </w:tcBorders>
          </w:tcPr>
          <w:p>
            <w:pPr>
              <w:spacing w:before="0" w:after="0" w:line="276" w:lineRule="auto"/>
            </w:pPr>
            <w:r>
              <w:rPr>
                <w:rFonts w:ascii="Arial" w:hAnsi="Arial"/>
                <w:color w:val="1F2937"/>
                <w:sz w:val="17"/>
              </w:rPr>
              <w:t>approx. 1.00 m x 1.00 m</w:t>
              <w:br/>
              <w:t>(G0201_Pavimento_ceramica)</w:t>
            </w:r>
          </w:p>
        </w:tc>
        <w:tc>
          <w:tcPr>
            <w:tcW w:type="dxa" w:w="1541"/>
            <w:shd w:fill="F3F4F6"/>
            <w:tcMar>
              <w:top w:w="100" w:type="dxa"/>
              <w:bottom w:w="100" w:type="dxa"/>
              <w:left w:w="100" w:type="dxa"/>
              <w:right w:w="100" w:type="dxa"/>
            </w:tcMar>
            <w:tcBorders>
              <w:top w:val="single" w:sz="4" w:space="0" w:color="E5E7EB"/>
              <w:left w:val="none" w:sz="4" w:space="0" w:color="auto"/>
              <w:bottom w:val="single" w:sz="4" w:space="0" w:color="E5E7EB"/>
              <w:right w:val="none" w:sz="4" w:space="0" w:color="auto"/>
            </w:tcBorders>
          </w:tcPr>
          <w:p>
            <w:pPr>
              <w:spacing w:before="0" w:after="0" w:line="276" w:lineRule="auto"/>
            </w:pPr>
            <w:r>
              <w:rPr>
                <w:rFonts w:ascii="Arial" w:hAnsi="Arial"/>
                <w:b/>
                <w:color w:val="DC2626"/>
                <w:sz w:val="17"/>
              </w:rPr>
              <w:t>Failed (Ruler Scale)</w:t>
            </w:r>
          </w:p>
        </w:tc>
      </w:tr>
    </w:tbl>
    <w:p>
      <w:pPr>
        <w:spacing w:before="0" w:after="160"/>
      </w:pPr>
    </w:p>
    <w:p>
      <w:pPr>
        <w:keepNext/>
        <w:spacing w:before="360" w:after="120"/>
        <w:pBdr>
          <w:bottom w:val="single" w:sz="12" w:space="4" w:color="2B6CB0"/>
        </w:pBdr>
      </w:pPr>
      <w:r>
        <w:rPr>
          <w:rFonts w:ascii="Arial" w:hAnsi="Arial"/>
          <w:b/>
          <w:color w:val="1B365D"/>
          <w:sz w:val="28"/>
        </w:rPr>
        <w:t>4. Analysis: Semantic Priors vs. Zero-Shot Monocular Metric Depth</w:t>
      </w:r>
    </w:p>
    <w:p>
      <w:pPr>
        <w:spacing w:before="0" w:after="120" w:line="276" w:lineRule="auto"/>
      </w:pPr>
      <w:r>
        <w:rPr>
          <w:rFonts w:ascii="Arial" w:hAnsi="Arial"/>
          <w:color w:val="1F2937"/>
          <w:sz w:val="20"/>
        </w:rPr>
        <w:t>A central empirical insight of this evaluation is the performance dichotomy between Large Vision-Language Models (Qwen3-VL) and Zero-Shot Metric Depth Foundation Models (Depth Anything V2 Metric) when dimensioning deconstruction elements:</w:t>
      </w:r>
    </w:p>
    <w:tbl>
      <w:tblPr>
        <w:tblW w:type="auto" w:w="0"/>
        <w:jc w:val="center"/>
        <w:tblLayout w:type="fixed"/>
        <w:tblLook w:firstColumn="1" w:firstRow="1" w:lastColumn="0" w:lastRow="0" w:noHBand="0" w:noVBand="1" w:val="04A0"/>
      </w:tblPr>
      <w:tblGrid>
        <w:gridCol w:w="9029"/>
      </w:tblGrid>
      <w:tr>
        <w:tc>
          <w:tcPr>
            <w:tcW w:type="dxa" w:w="9029"/>
            <w:shd w:fill="F8FAFC"/>
            <w:tcMar>
              <w:top w:w="140" w:type="dxa"/>
              <w:bottom w:w="140" w:type="dxa"/>
              <w:left w:w="180" w:type="dxa"/>
              <w:right w:w="180" w:type="dxa"/>
            </w:tcMar>
            <w:tcBorders>
              <w:top w:val="none" w:sz="4" w:space="0" w:color="auto"/>
              <w:left w:val="single" w:sz="24" w:space="0" w:color="2B6CB0"/>
              <w:bottom w:val="none" w:sz="4" w:space="0" w:color="auto"/>
              <w:right w:val="none" w:sz="4" w:space="0" w:color="auto"/>
            </w:tcBorders>
          </w:tcPr>
          <w:p>
            <w:pPr>
              <w:spacing w:before="0" w:after="0" w:line="276" w:lineRule="auto"/>
            </w:pPr>
            <w:r>
              <w:rPr>
                <w:rFonts w:ascii="Arial" w:hAnsi="Arial"/>
                <w:b/>
                <w:color w:val="1B365D"/>
                <w:sz w:val="20"/>
              </w:rPr>
              <w:t>The Empirical Case Study: EI 60 Fire Door (20240819_100055.jpg)</w:t>
              <w:br/>
            </w:r>
            <w:r>
              <w:rPr>
                <w:rFonts w:ascii="Arial" w:hAnsi="Arial"/>
                <w:color w:val="1F2937"/>
                <w:sz w:val="19"/>
              </w:rPr>
              <w:t>• Ground Truth Dimension: 0.90 m (Width) x 2.00 m (Height)</w:t>
              <w:br/>
              <w:t>• Qwen3-VL Text Prior Estimate: 0.90 m x 2.00 m (Error: 0.0% - Exact Match)</w:t>
              <w:br/>
              <w:t>• Zero-Shot Depth Anything V2 + 3D OBB: 3.67 m x 4.04 m (Error: ~300% - Massive Overestimation)</w:t>
            </w:r>
          </w:p>
        </w:tc>
      </w:tr>
    </w:tbl>
    <w:p>
      <w:pPr>
        <w:spacing w:before="0" w:after="120"/>
      </w:pPr>
    </w:p>
    <w:p>
      <w:pPr>
        <w:spacing w:before="0" w:after="80" w:line="276" w:lineRule="auto"/>
      </w:pPr>
      <w:r>
        <w:rPr>
          <w:rFonts w:ascii="Arial" w:hAnsi="Arial"/>
          <w:b/>
          <w:color w:val="1F2937"/>
          <w:sz w:val="20"/>
        </w:rPr>
        <w:t xml:space="preserve">Root Cause Diagnosis: </w:t>
      </w:r>
      <w:r>
        <w:rPr>
          <w:rFonts w:ascii="Arial" w:hAnsi="Arial"/>
          <w:color w:val="1F2937"/>
          <w:sz w:val="20"/>
        </w:rPr>
        <w:t>Three distinct technical mechanisms explain why the off-the-shelf metric depth pipeline suffered extreme scale blowout, while Qwen3 achieved an exact dimension match:</w:t>
      </w:r>
    </w:p>
    <w:p>
      <w:pPr>
        <w:spacing w:before="0" w:after="80" w:line="276" w:lineRule="auto"/>
      </w:pPr>
      <w:r>
        <w:rPr>
          <w:rFonts w:ascii="Arial" w:hAnsi="Arial"/>
          <w:b/>
          <w:color w:val="1F2937"/>
          <w:sz w:val="20"/>
        </w:rPr>
        <w:t xml:space="preserve">Bounding Box Spatial Contamination: </w:t>
      </w:r>
      <w:r>
        <w:rPr>
          <w:rFonts w:ascii="Arial" w:hAnsi="Arial"/>
          <w:color w:val="1F2937"/>
          <w:sz w:val="20"/>
        </w:rPr>
        <w:t>The VLM's normalized 2D bounding box [ymin=312, xmin=6, ymax=825, xmax=968] spanned 96.2% of the total image width and 51.3% of the image height. Without a pixel-level semantic mask (SAM), unprojecting this rectangular box into 3D camera space incorporated the door leaf plus the adjacent corridor walls, floor baseboards, and ceiling lintels. At a ~3.5 m standoff distance, 96% of the camera frustum physically encompasses ~4.0 meters of physical corridor width, leading the 3D Oriented Bounding Box to fit the entire hallway volume rather than the door leaf.</w:t>
      </w:r>
    </w:p>
    <w:p>
      <w:pPr>
        <w:spacing w:before="0" w:after="80" w:line="276" w:lineRule="auto"/>
      </w:pPr>
      <w:r>
        <w:rPr>
          <w:rFonts w:ascii="Arial" w:hAnsi="Arial"/>
          <w:b/>
          <w:color w:val="1F2937"/>
          <w:sz w:val="20"/>
        </w:rPr>
        <w:t xml:space="preserve">Focal Length Ambiguity &amp; Lens Intrinsics: </w:t>
      </w:r>
      <w:r>
        <w:rPr>
          <w:rFonts w:ascii="Arial" w:hAnsi="Arial"/>
          <w:color w:val="1F2937"/>
          <w:sz w:val="20"/>
        </w:rPr>
        <w:t>The back-projection equation (X = (u - cx)*Z / fx) relies directly on camera focal length. Operating in zero-shot mode without calibrated EXIF intrinsics required falling back to an assumed standard 65-degree horizontal Field of View. If the site photograph was captured using a smartphone ultrawide lens (0.5x, ~120-degree FOV), the estimated metric depth scale drifts non-linearly by a factor of 2x to 3x.</w:t>
      </w:r>
    </w:p>
    <w:p>
      <w:pPr>
        <w:spacing w:before="0" w:after="80" w:line="276" w:lineRule="auto"/>
      </w:pPr>
      <w:r>
        <w:rPr>
          <w:rFonts w:ascii="Arial" w:hAnsi="Arial"/>
          <w:b/>
          <w:color w:val="1F2937"/>
          <w:sz w:val="20"/>
        </w:rPr>
        <w:t xml:space="preserve">Architectural Semantic Priors vs. Raw Monocular Geometry: </w:t>
      </w:r>
      <w:r>
        <w:rPr>
          <w:rFonts w:ascii="Arial" w:hAnsi="Arial"/>
          <w:color w:val="1F2937"/>
          <w:sz w:val="20"/>
        </w:rPr>
        <w:t>Qwen3 does not attempt to reconstruct 3D rays from uncalibrated 2D pixels. Instead, upon classifying the component as a 'Flush steel internal door leaf with fire rating', it queries internalized architectural knowledge graphs where Swiss and European commercial fire doors conform rigidly to standard modular clear openings (0.90 x 2.00 m or 1.00 x 2.10 m). Furthermore, on modular assemblies (such as the double-glazed window and Hoval boiler), the VLM reads contextual scale markers, pane ratios, and equipment decals directly.</w:t>
      </w:r>
    </w:p>
    <w:p>
      <w:pPr>
        <w:spacing w:before="0" w:after="120"/>
      </w:pPr>
    </w:p>
    <w:p>
      <w:pPr>
        <w:keepNext/>
        <w:spacing w:before="360" w:after="120"/>
        <w:pBdr>
          <w:bottom w:val="single" w:sz="12" w:space="4" w:color="2B6CB0"/>
        </w:pBdr>
      </w:pPr>
      <w:r>
        <w:rPr>
          <w:rFonts w:ascii="Arial" w:hAnsi="Arial"/>
          <w:b/>
          <w:color w:val="1B365D"/>
          <w:sz w:val="28"/>
        </w:rPr>
        <w:t>5. Systematic Pipeline Failures &amp; Remediation Plan</w:t>
      </w:r>
    </w:p>
    <w:p>
      <w:pPr>
        <w:spacing w:before="0" w:after="120" w:line="276" w:lineRule="auto"/>
      </w:pPr>
      <w:r>
        <w:rPr>
          <w:rFonts w:ascii="Arial" w:hAnsi="Arial"/>
          <w:color w:val="1F2937"/>
          <w:sz w:val="20"/>
        </w:rPr>
        <w:t>While high accuracy was achieved in semantic and visual condition scoring, the benchmark audit exposed two critical system bottlenecks that must be resolved to fulfill Innosuisse innovation criteria:</w:t>
      </w:r>
    </w:p>
    <w:tbl>
      <w:tblPr>
        <w:tblW w:type="auto" w:w="0"/>
        <w:jc w:val="center"/>
        <w:tblLayout w:type="fixed"/>
        <w:tblLook w:firstColumn="1" w:firstRow="1" w:lastColumn="0" w:lastRow="0" w:noHBand="0" w:noVBand="1" w:val="04A0"/>
      </w:tblPr>
      <w:tblGrid>
        <w:gridCol w:w="9029"/>
      </w:tblGrid>
      <w:tr>
        <w:tc>
          <w:tcPr>
            <w:tcW w:type="dxa" w:w="9029"/>
            <w:shd w:fill="FEF2F2"/>
            <w:tcMar>
              <w:top w:w="140" w:type="dxa"/>
              <w:bottom w:w="140" w:type="dxa"/>
              <w:left w:w="180" w:type="dxa"/>
              <w:right w:w="180" w:type="dxa"/>
            </w:tcMar>
            <w:tcBorders>
              <w:top w:val="none" w:sz="4" w:space="0" w:color="auto"/>
              <w:left w:val="single" w:sz="24" w:space="0" w:color="DC2626"/>
              <w:bottom w:val="none" w:sz="4" w:space="0" w:color="auto"/>
              <w:right w:val="none" w:sz="4" w:space="0" w:color="auto"/>
            </w:tcBorders>
          </w:tcPr>
          <w:p>
            <w:pPr>
              <w:spacing w:before="0" w:after="0" w:line="276" w:lineRule="auto"/>
            </w:pPr>
            <w:r>
              <w:rPr>
                <w:rFonts w:ascii="Arial" w:hAnsi="Arial"/>
                <w:b/>
                <w:color w:val="1B365D"/>
                <w:sz w:val="20"/>
              </w:rPr>
              <w:t>Gap 1: WBS Code Resolution &amp; RSL Lifespan Defaulting (Codice WBS = UNKNOWN)</w:t>
              <w:br/>
            </w:r>
            <w:r>
              <w:rPr>
                <w:rFonts w:ascii="Arial" w:hAnsi="Arial"/>
                <w:color w:val="1F2937"/>
                <w:sz w:val="19"/>
              </w:rPr>
              <w:t>• Problem: In TRACEABLE_Inventory_new.xlsx, 100% of the 71 audited rows returned 'Codice WBS: UNKNOWN' and defaulted to a static 30-year RSL baseline, yielding a flat residual life of 15 years.</w:t>
              <w:br/>
              <w:t>• Root Cause: In supsi_kb.py, the lookup logic searched the SQLite database for exact English model strings ('Flush steel internal door leaf') or hallucinated Italian codes ('G0105_Porta_interna'), while the SUPSI database (130416_ListaRSL.xlsm) indexes sheets by strict technological Italian keys ('PortaInternaMetallo', 'SerramentoPVC', 'Radiatori').</w:t>
              <w:br/>
              <w:t>• Remediation: Implement a deterministic normalization dictionary and embedding-based semantic router in supsi_kb.py that maps eBKP-H level-3 codes directly to official SUPSI sheet names.</w:t>
            </w:r>
          </w:p>
        </w:tc>
      </w:tr>
    </w:tbl>
    <w:p>
      <w:pPr>
        <w:spacing w:before="0" w:after="120"/>
      </w:pPr>
    </w:p>
    <w:tbl>
      <w:tblPr>
        <w:tblW w:type="auto" w:w="0"/>
        <w:jc w:val="center"/>
        <w:tblLayout w:type="fixed"/>
        <w:tblLook w:firstColumn="1" w:firstRow="1" w:lastColumn="0" w:lastRow="0" w:noHBand="0" w:noVBand="1" w:val="04A0"/>
      </w:tblPr>
      <w:tblGrid>
        <w:gridCol w:w="9029"/>
      </w:tblGrid>
      <w:tr>
        <w:tc>
          <w:tcPr>
            <w:tcW w:type="dxa" w:w="9029"/>
            <w:shd w:fill="FFFBEB"/>
            <w:tcMar>
              <w:top w:w="140" w:type="dxa"/>
              <w:bottom w:w="140" w:type="dxa"/>
              <w:left w:w="180" w:type="dxa"/>
              <w:right w:w="180" w:type="dxa"/>
            </w:tcMar>
            <w:tcBorders>
              <w:top w:val="none" w:sz="4" w:space="0" w:color="auto"/>
              <w:left w:val="single" w:sz="24" w:space="0" w:color="D97706"/>
              <w:bottom w:val="none" w:sz="4" w:space="0" w:color="auto"/>
              <w:right w:val="none" w:sz="4" w:space="0" w:color="auto"/>
            </w:tcBorders>
          </w:tcPr>
          <w:p>
            <w:pPr>
              <w:spacing w:before="0" w:after="0" w:line="276" w:lineRule="auto"/>
            </w:pPr>
            <w:r>
              <w:rPr>
                <w:rFonts w:ascii="Arial" w:hAnsi="Arial"/>
                <w:b/>
                <w:color w:val="1B365D"/>
                <w:sz w:val="20"/>
              </w:rPr>
              <w:t>Gap 2: Monocular Scale Drift &amp; Dynamic Dependency Failures (open3d / libusb)</w:t>
              <w:br/>
            </w:r>
            <w:r>
              <w:rPr>
                <w:rFonts w:ascii="Arial" w:hAnsi="Arial"/>
                <w:color w:val="1F2937"/>
                <w:sz w:val="19"/>
              </w:rPr>
              <w:t>• Problem: Running Depth Anything V2 on macOS Apple Silicon threw dynamic linker exceptions (missing libusb-1.0.0.dylib), causing supsi_kb.py to silently fall back to VLM text guesses.</w:t>
              <w:br/>
              <w:t>• Remediation: (1) Replace heavy C++ Open3D bounding box routines with a lightweight, vectorized NumPy PCA implementation that runs natively on all platforms. (2) Replace loose rectangular bounding boxes with Segment Anything Model (SAM) binary masks to isolate component silhouettes before unprojecting 3D points. (3) Adopt a 'Prior-Guided Hybrid Metrology' architecture where Qwen3's catalog prior acts as an anchor (H0), and metric depth calculates localized spatial deviations.</w:t>
            </w:r>
          </w:p>
        </w:tc>
      </w:tr>
    </w:tbl>
    <w:p>
      <w:pPr>
        <w:spacing w:before="0" w:after="120"/>
      </w:pPr>
    </w:p>
    <w:p>
      <w:pPr>
        <w:keepNext/>
        <w:spacing w:before="360" w:after="120"/>
        <w:pBdr>
          <w:bottom w:val="single" w:sz="12" w:space="4" w:color="2B6CB0"/>
        </w:pBdr>
      </w:pPr>
      <w:r>
        <w:rPr>
          <w:rFonts w:ascii="Arial" w:hAnsi="Arial"/>
          <w:b/>
          <w:color w:val="1B365D"/>
          <w:sz w:val="28"/>
        </w:rPr>
        <w:t>6. Innosuisse Innovation Roadmap: Moving Beyond Off-The-Shelf Baselines</w:t>
      </w:r>
    </w:p>
    <w:p>
      <w:pPr>
        <w:spacing w:before="0" w:after="80" w:line="276" w:lineRule="auto"/>
      </w:pPr>
      <w:r>
        <w:rPr>
          <w:rFonts w:ascii="Arial" w:hAnsi="Arial"/>
          <w:color w:val="1F2937"/>
          <w:sz w:val="20"/>
        </w:rPr>
        <w:t>To establish authentic scientific excellence and industrial defensibility for Innosuisse submission, the TRACEABLE system will transition from simple prompt orchestration to three novel applied research workstreams:</w:t>
      </w:r>
    </w:p>
    <w:p>
      <w:pPr>
        <w:spacing w:before="0" w:after="80" w:line="276" w:lineRule="auto"/>
      </w:pPr>
      <w:r>
        <w:rPr>
          <w:rFonts w:ascii="Arial" w:hAnsi="Arial"/>
          <w:b/>
          <w:color w:val="1F2937"/>
          <w:sz w:val="20"/>
        </w:rPr>
        <w:t xml:space="preserve">• Workstream A: Fine-Tuning Self-Supervised ViTs (DINOv2) for Quantitative Degradation Scoring: </w:t>
      </w:r>
      <w:r>
        <w:rPr>
          <w:rFonts w:ascii="Arial" w:hAnsi="Arial"/>
          <w:color w:val="1F2937"/>
          <w:sz w:val="20"/>
        </w:rPr>
        <w:t>Replace coarse text classifications ('Fair', 'Minor wear') with an objective Defect Surface Ratio (DSR). A frozen DINOv2 backbone equipped with multi-task linear heads will segment exact corrosion/spalling pixels and regress a continuous degradation index S in [0.0, 1.0] conforming to SIA 469 and UNI degradation catalogs.</w:t>
      </w:r>
    </w:p>
    <w:p>
      <w:pPr>
        <w:spacing w:before="0" w:after="80" w:line="276" w:lineRule="auto"/>
      </w:pPr>
      <w:r>
        <w:rPr>
          <w:rFonts w:ascii="Arial" w:hAnsi="Arial"/>
          <w:b/>
          <w:color w:val="1F2937"/>
          <w:sz w:val="20"/>
        </w:rPr>
        <w:t xml:space="preserve">• Workstream B: Detachability &amp; Disassembly Reasoner (ISO 20887 Visual Scene Graphs): </w:t>
      </w:r>
      <w:r>
        <w:rPr>
          <w:rFonts w:ascii="Arial" w:hAnsi="Arial"/>
          <w:color w:val="1F2937"/>
          <w:sz w:val="20"/>
        </w:rPr>
        <w:t>Transition from static lookup tables to visual boundary and fastener junction detection. Focused edge-detectors identify mechanical primitives (bolts, screws, PU foam, mortar beds) around element perimeters, generating a Deconstructibility Scene Graph to calculate true circular salvage potential.</w:t>
      </w:r>
    </w:p>
    <w:p>
      <w:pPr>
        <w:spacing w:before="0" w:after="80" w:line="276" w:lineRule="auto"/>
      </w:pPr>
      <w:r>
        <w:rPr>
          <w:rFonts w:ascii="Arial" w:hAnsi="Arial"/>
          <w:b/>
          <w:color w:val="1F2937"/>
          <w:sz w:val="20"/>
        </w:rPr>
        <w:t xml:space="preserve">• Workstream C: 2D-to-3D Semantic Ray-Splatting for Automated Light Digital Twins: </w:t>
      </w:r>
      <w:r>
        <w:rPr>
          <w:rFonts w:ascii="Arial" w:hAnsi="Arial"/>
          <w:color w:val="1F2937"/>
          <w:sz w:val="20"/>
        </w:rPr>
        <w:t>Fuse continuous Visual SLAM / smartphone odometry with building CAD floor plans. As surveyors walk corridors, detected component 3D bounding cones snap to nearest architectural CAD wall vectors, automatically instantiating enriched BIM elements (IfcDoor, IfcWindow, IfcRadiator) without manual geolocation.</w:t>
      </w:r>
    </w:p>
    <w:p>
      <w:pPr>
        <w:keepNext/>
        <w:spacing w:before="360" w:after="120"/>
        <w:pBdr>
          <w:bottom w:val="single" w:sz="12" w:space="4" w:color="2B6CB0"/>
        </w:pBdr>
      </w:pPr>
      <w:r>
        <w:rPr>
          <w:rFonts w:ascii="Arial" w:hAnsi="Arial"/>
          <w:b/>
          <w:color w:val="1B365D"/>
          <w:sz w:val="28"/>
        </w:rPr>
        <w:t>7. Strategic Conclusion</w:t>
      </w:r>
    </w:p>
    <w:p>
      <w:pPr>
        <w:spacing w:before="0" w:after="240" w:line="276" w:lineRule="auto"/>
      </w:pPr>
      <w:r>
        <w:rPr>
          <w:rFonts w:ascii="Arial" w:hAnsi="Arial"/>
          <w:color w:val="1F2937"/>
          <w:sz w:val="20"/>
        </w:rPr>
        <w:t>The empirical benchmark against SUPSI ground truth proves that the semantic and cognitive foundation of TRACEABLE is highly capable: Qwen3 achieves 84.3% dimensional accuracy, 90.0% functionality scoring, and 80.0% disassembly classification directly from single-view field photography. Resolving the deterministic SQLite ontology bridge and coupling Qwen's architectural priors with calibrated, SAM-masked metric depth will deliver a robust, scientifically defensible platform for automated Swiss circular building audits.</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