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简体" w:hAnsi="方正小标宋简体" w:eastAsia="方正小标宋简体"/>
          <w:sz w:val="44"/>
        </w:rPr>
        <w:t>页眉页脚和页码样例</w:t>
      </w:r>
    </w:p>
    <w:p>
      <w:r>
        <w:rPr>
          <w:rFonts w:ascii="仿宋_GB2312" w:hAnsi="仿宋_GB2312" w:eastAsia="仿宋_GB2312"/>
          <w:sz w:val="32"/>
        </w:rPr>
        <w:t>本样例用于检查页眉、页脚、PAGE 字段和首页不同设置。</w:t>
      </w:r>
    </w:p>
    <w:p>
      <w:pPr>
        <w:sectPr>
          <w:headerReference w:type="default" r:id="rId9"/>
          <w:footerReference w:type="default" r:id="rId10"/>
          <w:pgSz w:w="11906" w:h="16838"/>
          <w:pgMar w:top="1814" w:right="1701" w:bottom="1587" w:left="1701" w:header="720" w:footer="720" w:gutter="0"/>
          <w:cols w:space="720"/>
          <w:titlePg/>
          <w:docGrid w:linePitch="360"/>
        </w:sectPr>
      </w:pPr>
    </w:p>
    <w:p>
      <w:r>
        <w:rPr>
          <w:rFonts w:ascii="黑体" w:hAnsi="黑体" w:eastAsia="黑体"/>
          <w:sz w:val="32"/>
        </w:rPr>
        <w:t>第二节内容</w:t>
      </w:r>
    </w:p>
    <w:p>
      <w:r>
        <w:rPr>
          <w:rFonts w:ascii="仿宋_GB2312" w:hAnsi="仿宋_GB2312" w:eastAsia="仿宋_GB2312"/>
          <w:sz w:val="32"/>
        </w:rPr>
        <w:t>第二节用于检查多节文档的页面处理。</w:t>
      </w:r>
    </w:p>
    <w:sectPr w:rsidR="00FC693F" w:rsidRPr="0006063C" w:rsidSect="00034616">
      <w:pgSz w:w="11906" w:h="16838"/>
      <w:pgMar w:top="1814" w:right="1701" w:bottom="158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内部资料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