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简体" w:hAnsi="方正小标宋简体" w:eastAsia="方正小标宋简体"/>
          <w:sz w:val="44"/>
        </w:rPr>
        <w:t>自动编号样例</w:t>
      </w:r>
    </w:p>
    <w:p>
      <w:pPr>
        <w:pStyle w:val="ListNumber"/>
        <w:numPr>
          <w:ilvl w:val="0"/>
          <w:numId w:val="5"/>
        </w:numPr>
      </w:pPr>
      <w:r>
        <w:rPr>
          <w:rFonts w:ascii="仿宋_GB2312" w:hAnsi="仿宋_GB2312" w:eastAsia="仿宋_GB2312"/>
          <w:sz w:val="32"/>
        </w:rPr>
        <w:t>自动编号第一项</w:t>
      </w:r>
    </w:p>
    <w:p>
      <w:pPr>
        <w:pStyle w:val="ListNumber"/>
        <w:numPr>
          <w:ilvl w:val="0"/>
          <w:numId w:val="5"/>
        </w:numPr>
      </w:pPr>
      <w:r>
        <w:rPr>
          <w:rFonts w:ascii="仿宋_GB2312" w:hAnsi="仿宋_GB2312" w:eastAsia="仿宋_GB2312"/>
          <w:sz w:val="32"/>
        </w:rPr>
        <w:t>自动编号第二项</w:t>
      </w:r>
    </w:p>
    <w:p>
      <w:pPr>
        <w:pStyle w:val="ListNumber"/>
        <w:numPr>
          <w:ilvl w:val="0"/>
          <w:numId w:val="5"/>
        </w:numPr>
      </w:pPr>
      <w:r>
        <w:rPr>
          <w:rFonts w:ascii="仿宋_GB2312" w:hAnsi="仿宋_GB2312" w:eastAsia="仿宋_GB2312"/>
          <w:sz w:val="32"/>
        </w:rPr>
        <w:t>自动编号第三项</w:t>
      </w:r>
    </w:p>
    <w:p>
      <w:r>
        <w:rPr>
          <w:rFonts w:ascii="黑体" w:hAnsi="黑体" w:eastAsia="黑体"/>
          <w:sz w:val="32"/>
        </w:rPr>
        <w:t>一、手写编号也应作为正文文本保留</w:t>
      </w:r>
    </w:p>
    <w:sectPr w:rsidR="00FC693F" w:rsidRPr="0006063C" w:rsidSect="00034616">
      <w:pgSz w:w="11906" w:h="16838"/>
      <w:pgMar w:top="1814" w:right="1701" w:bottom="158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