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Генералов,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продолжаем выполнение с того места, где мы остановились в лабораторной работе 2:</w:t>
      </w:r>
      <w:r>
        <w:t xml:space="preserve"> </w:t>
      </w:r>
      <w:r>
        <w:t xml:space="preserve">теперь, чтобы проверить, как работает контроль доступа в Linux с двумя пользователями,</w:t>
      </w:r>
      <w:r>
        <w:t xml:space="preserve"> </w:t>
      </w:r>
      <w:r>
        <w:t xml:space="preserve">надо создать второго пользователя и зайти в систему от его имени.</w:t>
      </w:r>
      <w:r>
        <w:t xml:space="preserve"> </w:t>
      </w:r>
      <w:r>
        <w:t xml:space="preserve">Мы видим, что пользователь guest находится в папке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</w:t>
      </w:r>
      <w:r>
        <w:t xml:space="preserve"> </w:t>
      </w:r>
      <w:r>
        <w:t xml:space="preserve">а пользователь guest2 – в папке</w:t>
      </w:r>
      <w:r>
        <w:t xml:space="preserve"> </w:t>
      </w:r>
      <w:r>
        <w:rPr>
          <w:rStyle w:val="VerbatimChar"/>
        </w:rPr>
        <w:t xml:space="preserve">/home/guest2</w:t>
      </w:r>
      <w:r>
        <w:t xml:space="preserve">,</w:t>
      </w:r>
      <w:r>
        <w:t xml:space="preserve"> </w:t>
      </w:r>
      <w:r>
        <w:t xml:space="preserve">но они оба имеют приглашение, которое говорит им, что они находятся в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–</w:t>
      </w:r>
      <w:r>
        <w:t xml:space="preserve"> </w:t>
      </w:r>
      <w:r>
        <w:t xml:space="preserve">это сокращение указывает на домашнюю папку текущего пользователя. (рис. 1).</w:t>
      </w:r>
    </w:p>
    <w:p>
      <w:pPr>
        <w:pStyle w:val="CaptionedFigure"/>
      </w:pPr>
      <w:r>
        <w:drawing>
          <wp:inline>
            <wp:extent cx="3733800" cy="1470112"/>
            <wp:effectExtent b="0" l="0" r="0" t="0"/>
            <wp:docPr descr="Рис. 1: useradd" title="" id="22" name="Picture"/>
            <a:graphic>
              <a:graphicData uri="http://schemas.openxmlformats.org/drawingml/2006/picture">
                <pic:pic>
                  <pic:nvPicPr>
                    <pic:cNvPr descr="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useradd</w:t>
      </w:r>
    </w:p>
    <w:p>
      <w:pPr>
        <w:pStyle w:val="BodyText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дают нам одинаковую информацию:</w:t>
      </w:r>
      <w:r>
        <w:t xml:space="preserve"> </w:t>
      </w:r>
      <w:r>
        <w:t xml:space="preserve">пользователь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принадлежит только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(GID=1001),</w:t>
      </w:r>
      <w:r>
        <w:t xml:space="preserve"> </w:t>
      </w:r>
      <w:r>
        <w:t xml:space="preserve">а пользователь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– группе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(GID=1002), а также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/etc/groups</w:t>
      </w:r>
      <w:r>
        <w:t xml:space="preserve"> </w:t>
      </w:r>
      <w:r>
        <w:t xml:space="preserve">написана только вторая связь, потому что основной GID пользователя хранится 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1470112"/>
            <wp:effectExtent b="0" l="0" r="0" t="0"/>
            <wp:docPr descr="Рис. 2: groups" title="" id="25" name="Picture"/>
            <a:graphic>
              <a:graphicData uri="http://schemas.openxmlformats.org/drawingml/2006/picture">
                <pic:pic>
                  <pic:nvPicPr>
                    <pic:cNvPr descr="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groups</w:t>
      </w:r>
    </w:p>
    <w:p>
      <w:pPr>
        <w:pStyle w:val="BodyText"/>
      </w:pPr>
      <w:r>
        <w:t xml:space="preserve">После этого мы меняем активную группу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,</w:t>
      </w:r>
      <w:r>
        <w:t xml:space="preserve"> </w:t>
      </w:r>
      <w:r>
        <w:t xml:space="preserve">а затем запрещаем все операции над папкой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. Это можно подтвердить,</w:t>
      </w:r>
      <w:r>
        <w:t xml:space="preserve"> </w:t>
      </w:r>
      <w:r>
        <w:t xml:space="preserve">потому что в выводе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для этой папки стоят все прочерки в битах разрешения (рис. 3).</w:t>
      </w:r>
    </w:p>
    <w:p>
      <w:pPr>
        <w:pStyle w:val="CaptionedFigure"/>
      </w:pPr>
      <w:r>
        <w:drawing>
          <wp:inline>
            <wp:extent cx="3733800" cy="2723664"/>
            <wp:effectExtent b="0" l="0" r="0" t="0"/>
            <wp:docPr descr="Рис. 3: chmod" title="" id="28" name="Picture"/>
            <a:graphic>
              <a:graphicData uri="http://schemas.openxmlformats.org/drawingml/2006/picture">
                <pic:pic>
                  <pic:nvPicPr>
                    <pic:cNvPr descr="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chmod</w:t>
      </w:r>
    </w:p>
    <w:p>
      <w:pPr>
        <w:pStyle w:val="BodyText"/>
      </w:pPr>
      <w:r>
        <w:t xml:space="preserve">На основании этого можно заполнить таблицу разрешений: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этого можно вывести таблицу минимальных прав, которые необходимы для каждой операции: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изучили, как использовать базовый дискреционный контроль доступа в Linux,</w:t>
      </w:r>
      <w:r>
        <w:t xml:space="preserve"> </w:t>
      </w:r>
      <w:r>
        <w:t xml:space="preserve">и определили, какие аттрибуты позволяют выполнять какие действия над папками или файлами.</w:t>
      </w:r>
      <w:r>
        <w:t xml:space="preserve"> </w:t>
      </w:r>
      <w:r>
        <w:t xml:space="preserve">Мы также проверили, что эти свойства сохраняются при ситуации с несколькими пользователями.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Даниил Генералов, 1032212280</dc:creator>
  <dc:language>ru-RU</dc:language>
  <cp:keywords/>
  <dcterms:created xsi:type="dcterms:W3CDTF">2024-09-21T15:40:58Z</dcterms:created>
  <dcterms:modified xsi:type="dcterms:W3CDTF">2024-09-21T15:40:58Z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