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ptos Display" w:hAnsi="Aptos Display"/>
          <w:b/>
          <w:color w:val="17365D"/>
          <w:sz w:val="50"/>
        </w:rPr>
        <w:t>ANÁLISIS DE INCIDENCIAS</w:t>
        <w:br/>
        <w:t>DE MIGRACIÓN</w:t>
      </w:r>
    </w:p>
    <w:p>
      <w:pPr>
        <w:jc w:val="center"/>
      </w:pPr>
      <w:r>
        <w:rPr>
          <w:color w:val="4472C4"/>
          <w:sz w:val="28"/>
        </w:rPr>
        <w:t>SharePoint: Servicio de Nóminas y Estudios Económicos</w:t>
      </w:r>
    </w:p>
    <w:p>
      <w:pPr>
        <w:jc w:val="center"/>
      </w:pPr>
      <w:r>
        <w:rPr>
          <w:b/>
        </w:rPr>
        <w:t>Revisión de dos ejecuciones y sus informes de errores</w:t>
        <w:br/>
      </w:r>
      <w:r>
        <w:t>Fecha del informe: 20 de octubre de 2026</w:t>
      </w:r>
    </w:p>
    <w:p>
      <w:r>
        <w:rPr>
          <w:b/>
        </w:rPr>
        <w:t>Conclusión ejecutiva</w:t>
      </w:r>
    </w:p>
    <w:p>
      <w:r>
        <w:t>La ejecución más reciente terminó con estado «Completado», pero la migración no quedó íntegra: se reportan 616 de 626 elementos migrados (98,4 %) y 11,73 de 12,91 GB; quedan 10 archivos sin migrar (1,18 GB según el resumen). Además, los informes registran fallos de estructura que pueden dejar listas sin contenido, vistas y navegación incompletas, y una lista extensa de identidades sin mapear. El estado «Completado» y el contador de advertencias igual a cero no sustituyen la revisión de los informes de fallos.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7F6000"/>
                <w:sz w:val="18"/>
              </w:rPr>
              <w:t>Resultado: migración parcial. No dar por aceptada hasta reconciliar los 10 archivos, las 23 listas omitidas y las identidades/permisos sin mapear, o documentar formalmente las excepciones.</w:t>
            </w:r>
          </w:p>
        </w:tc>
      </w:tr>
    </w:tbl>
    <w:p>
      <w:pPr>
        <w:pStyle w:val="Heading1"/>
      </w:pPr>
      <w:r>
        <w:t>1. Alcance y método</w:t>
      </w:r>
    </w:p>
    <w:p>
      <w:r>
        <w:t>Se revisaron los resúmenes, los informes de fallos de elementos y estructura, los informes de usuarios y los registros de ambas carpetas de ejecución. Se contrastaron los totales entre ejecuciones y se separaron los mensajes directamente observados de las causas probables. No se accedió al SharePoint de origen o destino ni se abrieron los documentos; por ello, las causas de los fallos de archivo se presentan como hipótesis hasta verificarlas en el sitio.</w:t>
      </w:r>
    </w:p>
    <w:p>
      <w:pPr>
        <w:pStyle w:val="Heading1"/>
      </w:pPr>
      <w:r>
        <w:t>2. Resultado comparativo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Ejecución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Elementos</w:t>
            </w:r>
          </w:p>
        </w:tc>
        <w:tc>
          <w:tcPr>
            <w:tcW w:type="dxa" w:w="13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Migrados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 migrados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Datos migrados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Total origen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Lectura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Primera · 16/10/2026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626</w:t>
            </w:r>
          </w:p>
        </w:tc>
        <w:tc>
          <w:tcPr>
            <w:tcW w:type="dxa" w:w="13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430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196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3,28 GB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12,91 GB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192 fallos de empaquetado; 4 fallos de lectura/versiones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Posterior · 19–20/10/2026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626 (196 esperados en reintento)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616 acumulados (186 en reintento)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1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11,73 GB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12,91 GB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 fallos de empaquetado; 1,18 GB pendientes</w:t>
            </w:r>
          </w:p>
        </w:tc>
      </w:tr>
    </w:tbl>
    <w:p>
      <w:pPr>
        <w:spacing w:after="0"/>
      </w:pPr>
    </w:p>
    <w:p>
      <w:r>
        <w:t>La segunda ejecución recuperó 186 de los 196 elementos que habían fallado inicialmente. Los cuatro errores de lectura de versiones ya no aparecen en el informe final; persisten diez errores de empaquetado. Los porcentajes se calculan sobre los totales del resumen.</w:t>
      </w:r>
    </w:p>
    <w:p>
      <w:pPr>
        <w:pStyle w:val="Heading1"/>
      </w:pPr>
      <w:r>
        <w:t>3. Hallazgos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Impacto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 archivos pendientes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 PACK FAILURE (0x01410001): «No se puede abrir el archivo»; 9 PDF y 1 DOC. Error de servidor: N/A.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Queda contenido documental fuera de destino; la causa interna no se determina solo con estos archivos.</w:t>
            </w:r>
          </w:p>
        </w:tc>
      </w:tr>
      <w:tr>
        <w:tc>
          <w:tcPr>
            <w:tcW w:type="dxa" w:w="10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23 listas omitidas / campos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174 errores de campo; campos obligatorios no creados/actualizados. Logs: nombres inválidos, columnas inexistentes y fórmulas no admitidas.</w:t>
            </w:r>
          </w:p>
        </w:tc>
        <w:tc>
          <w:tcPr>
            <w:tcW w:type="dxa" w:w="273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Puede faltar el contenido completo de esas listas y fallar dependencias.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Media-alta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72 vistas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Errores de creación; referencias a columnas ausentes (p. ej., Fecha1/Año) y fórmulas no admitidas.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Vistas y consultas no reproducen la experiencia de origen.</w:t>
            </w:r>
          </w:p>
        </w:tc>
      </w:tr>
      <w:tr>
        <w:tc>
          <w:tcPr>
            <w:tcW w:type="dxa" w:w="10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150 nodos de navegación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El log registra páginas .aspx inexistentes en el destino al crear nodos.</w:t>
            </w:r>
          </w:p>
        </w:tc>
        <w:tc>
          <w:tcPr>
            <w:tcW w:type="dxa" w:w="273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Enlaces de navegación rotos o ausentes.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293 entradas sin mapear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UserNotMapped_R1.csv contiene 293 registros. Archivo de mapeo vacío; mapeo automático desactivado; permisos preservados.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Riesgo sobre autoría, usuarios y permisos; validar si son identidades únicas u obsoletas.</w:t>
            </w:r>
          </w:p>
        </w:tc>
      </w:tr>
      <w:tr>
        <w:tc>
          <w:tcPr>
            <w:tcW w:type="dxa" w:w="10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12 fallos de características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8 PublishingWeb, 2 Navigation y 2 PublishingPrerequisites.</w:t>
            </w:r>
          </w:p>
        </w:tc>
        <w:tc>
          <w:tcPr>
            <w:tcW w:type="dxa" w:w="273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Funciones clásicas pueden no estar disponibles o requerir prerrequisitos.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 revisar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Respuestas HTTP 403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El log inicial registra cuatro respuestas 403 al comprobar el sitio destino.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No prueba la causa de los archivos pendientes; confirmar acceso al sitio.</w:t>
            </w:r>
          </w:p>
        </w:tc>
      </w:tr>
    </w:tbl>
    <w:p>
      <w:pPr>
        <w:spacing w:after="0"/>
      </w:pPr>
    </w:p>
    <w:p>
      <w:pPr>
        <w:pStyle w:val="Heading1"/>
      </w:pPr>
      <w:r>
        <w:t>4. Análisis y acciones correctivas</w:t>
      </w:r>
    </w:p>
    <w:p>
      <w:pPr>
        <w:pStyle w:val="Heading2"/>
      </w:pPr>
      <w:r>
        <w:t>4.1 Archivos que no se pudieron empaquetar</w:t>
      </w:r>
    </w:p>
    <w:p>
      <w:pPr>
        <w:spacing w:after="60"/>
      </w:pPr>
      <w:r>
        <w:rPr>
          <w:b/>
          <w:color w:val="C00000"/>
        </w:rPr>
        <w:t xml:space="preserve">Prioridad: Alta  |  </w:t>
      </w:r>
      <w:r>
        <w:t>Evidencia: La ejecución inicial registró 192 fallos de empaquetado y 4 errores de lectura («No se pudieron obtener todas las versiones del elemento de lista»). En la última quedan 10 PACK FAILURE, código 0x01410001: «Error al crear el paquete: No se puede abrir el archivo». Son nueve PDF y un DOC; el error de servidor figura como N/A.</w:t>
      </w:r>
    </w:p>
    <w:p>
      <w:pPr>
        <w:spacing w:after="60"/>
      </w:pPr>
      <w:r>
        <w:rPr>
          <w:b/>
        </w:rPr>
        <w:t xml:space="preserve">Causa probable: </w:t>
      </w:r>
      <w:r>
        <w:t>El error ocurre al crear/leer el paquete. El tamaño elevado de varios PDF no demuestra que sea la causa. También deben comprobarse acceso al archivo de origen, integridad/protección, versiones, bloqueos y espacio/recursos de la máquina de migración.</w:t>
      </w:r>
    </w:p>
    <w:p>
      <w:pPr>
        <w:spacing w:after="60"/>
      </w:pPr>
      <w:r>
        <w:rPr>
          <w:b/>
        </w:rPr>
        <w:t xml:space="preserve">Cómo solucionarlo: </w:t>
      </w:r>
      <w:r>
        <w:t>Tomar los diez elementos de ItemFailureReport_R1.csv y probarlos individualmente. Confirmar que archivo y versiones se abren y descargan desde el origen; comprobar permisos de lectura, espacio, ACL y ruta de almacenamiento temporal, y revisar bloqueos del antivirus. Si uno sigue fallando, validar/reparar la copia de origen y migrarlo de nuevo con un método compatible; no excluirlo sin aprobación.</w:t>
      </w:r>
    </w:p>
    <w:p>
      <w:pPr>
        <w:spacing w:after="140"/>
      </w:pPr>
      <w:r>
        <w:rPr>
          <w:b/>
        </w:rPr>
        <w:t xml:space="preserve">Validación: </w:t>
      </w:r>
      <w:r>
        <w:t>El informe de fallos queda vacío y el destino contiene los diez archivos con tamaño y apertura correctos; conciliar bytes con el origen.</w:t>
      </w:r>
    </w:p>
    <w:p>
      <w:pPr>
        <w:pStyle w:val="Heading3"/>
      </w:pPr>
      <w:r>
        <w:t>Prueba paso a paso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Abrir el enlace de origen de cada PDF con una cuenta autorizada; comprobar que la biblioteca y el archivo existen y que se pueden descargar. Si no se puede acceder, pedir al propietario que revise permisos y ubicación.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Comparar el tamaño descargado con el tamaño del informe. Abrir la copia local en Edge o Adobe Reader, revisar la primera y última página y recorrer páginas intermedias; anotar contraseña, aviso de reparación o error de lectura.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Si está disponible, ejecutar qpdf --check "C:\ruta\archivo.pdf". Un resultado sin errores es una comprobación adicional, no prueba por sí sola que la migración vaya a funcionar.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Revisar el historial de versiones en el origen y comprobar si la versión actual se descarga. Mantener intacto el original y guardar una copia de prueba con fecha y tamaño registrados.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Si el PDF abre correctamente, revisar espacio libre, permisos de lectura y escritura de la cuenta y del almacenamiento temporal de la herramienta, y posibles bloqueos del antivirus. Reintentar solo ese elemento en una ejecución controlada.</w:t>
      </w:r>
    </w:p>
    <w:p>
      <w:pPr>
        <w:spacing w:after="60"/>
        <w:ind w:left="230" w:hanging="230"/>
      </w:pPr>
      <w:r>
        <w:rPr>
          <w:b/>
        </w:rPr>
        <w:t xml:space="preserve">6. </w:t>
      </w:r>
      <w:r>
        <w:t>Abrir el enlace de destino tras el reintento y comprobar apertura, tamaño y, si corresponde, versiones. No marcar el archivo como resuelto si solo aparece en la biblioteca pero no se puede abrir.</w:t>
      </w:r>
    </w:p>
    <w:p>
      <w:r>
        <w:rPr>
          <w:b/>
        </w:rPr>
        <w:t>Enlaces directos reportados</w:t>
      </w:r>
      <w:r>
        <w:t xml:space="preserve"> (requieren permisos; el destino es la URL de destino registrada en el informe):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PDF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Bytes en informe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URL de origen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URL de destino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SAN_SAY.pdf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202324660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https://gcinterna.admon-cfnavarra.es/Corporativa00/ServicioNominasyEstudiosEconomicos/Expedientes/S/SAN_SAY.pdf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https://hiberusspo365demo.sharepoint.com/sites/GN_GCinterna/servicionominasyestudioseconomicos/Expedientes/S/SAN_SAY.pdf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H_1.pdf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111392698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https://gcinterna.admon-cfnavarra.es/Corporativa00/ServicioNominasyEstudiosEconomicos/Expedientes/H/H_1.pdf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https://hiberusspo365demo.sharepoint.com/sites/GN_GCinterna/servicionominasyestudioseconomicos/Expedientes/H/H_1.pdf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GARCES_GARCIA_ROS.pdf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94989807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https://gcinterna.admon-cfnavarra.es/Corporativa00/ServicioNominasyEstudiosEconomicos/Expedientes/G/GARCES_GARCIA_ROS.pdf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https://hiberusspo365demo.sharepoint.com/sites/GN_GCinterna/servicionominasyestudioseconomicos/Expedientes/G/GARCES_GARCIA_ROS.pdf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GELABERT_GOMEZDESEGURA.pdf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159429215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https://gcinterna.admon-cfnavarra.es/Corporativa00/ServicioNominasyEstudiosEconomicos/Expedientes/G/GELABERT_GOMEZDESEGURA.pdf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8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https://hiberusspo365demo.sharepoint.com/sites/GN_GCinterna/servicionominasyestudioseconomicos/Expedientes/G/GELABERT_GOMEZDESEGURA.pdf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GABA-GARBI.pdf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59938840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19">
              <w:r>
                <w:rPr>
                  <w:color w:val="0563C1"/>
                  <w:u w:val="single"/>
                </w:rPr>
                <w:t>https://gcinterna.admon-cfnavarra.es/Corporativa00/ServicioNominasyEstudiosEconomicos/Expedientes/G/GABA-GARBI.pdf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0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https://hiberusspo365demo.sharepoint.com/sites/GN_GCinterna/servicionominasyestudioseconomicos/Expedientes/G/GABA-GARBI.pdf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G_1.pdf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230261157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1">
              <w:r>
                <w:rPr>
                  <w:color w:val="0563C1"/>
                  <w:u w:val="single"/>
                </w:rPr>
                <w:t>https://gcinterna.admon-cfnavarra.es/Corporativa00/ServicioNominasyEstudiosEconomicos/Expedientes/G/G_1.pdf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2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https://hiberusspo365demo.sharepoint.com/sites/GN_GCinterna/servicionominasyestudioseconomicos/Expedientes/G/G_1.pdf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H.pdf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101127473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3">
              <w:r>
                <w:rPr>
                  <w:color w:val="0563C1"/>
                  <w:u w:val="single"/>
                </w:rPr>
                <w:t>https://gcinterna.admon-cfnavarra.es/Corporativa00/ServicioNominasyEstudiosEconomicos/Expedientes/H/H.pdf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4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https://hiberusspo365demo.sharepoint.com/sites/GN_GCinterna/servicionominasyestudioseconomicos/Expedientes/H/H.pdf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GARCIA_R_GAZTELURRUTIA.pdf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96793266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5">
              <w:r>
                <w:rPr>
                  <w:color w:val="0563C1"/>
                  <w:u w:val="single"/>
                </w:rPr>
                <w:t>https://gcinterna.admon-cfnavarra.es/Corporativa00/ServicioNominasyEstudiosEconomicos/Expedientes/G/GARCIA_R_GAZTELURRUTIA.pdf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6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https://hiberusspo365demo.sharepoint.com/sites/GN_GCinterna/servicionominasyestudioseconomicos/Expedientes/G/GARCIA_R_GAZTELURRUTIA.pdf</w:t>
              </w:r>
            </w:hyperlink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GONZ_GU.pdf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216991550</w:t>
            </w:r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7">
              <w:r>
                <w:rPr>
                  <w:color w:val="0563C1"/>
                  <w:u w:val="single"/>
                </w:rPr>
                <w:t>https://gcinterna.admon-cfnavarra.es/Corporativa00/ServicioNominasyEstudiosEconomicos/Expedientes/G/GONZ_GU.pdf</w:t>
              </w:r>
            </w:hyperlink>
          </w:p>
        </w:tc>
        <w:tc>
          <w:tcPr>
            <w:tcW w:type="dxa" w:w="3816"/>
          </w:tcPr>
          <w:p>
            <w:pPr>
              <w:spacing w:after="20"/>
            </w:pPr>
            <w:r>
              <w:rPr>
                <w:sz w:val="12"/>
              </w:rPr>
            </w:r>
            <w:hyperlink r:id="rId28">
              <w:r>
                <w:rPr>
                  <w:color w:val="0563C1"/>
                  <w:u w:val="single"/>
                </w:rPr>
                <w:t>https://hiberusspo365demo.sharepoint.com/sites/GN_GCinterna/servicionominasyestudioseconomicos/Expedientes/G/GONZ_GU.pdf</w:t>
              </w:r>
            </w:hyperlink>
          </w:p>
        </w:tc>
      </w:tr>
    </w:tbl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2"/>
      </w:pPr>
      <w:r>
        <w:t>4.2 Esquema de listas y columnas obligatorias</w:t>
      </w:r>
    </w:p>
    <w:p>
      <w:pPr>
        <w:spacing w:after="60"/>
      </w:pPr>
      <w:r>
        <w:rPr>
          <w:b/>
          <w:color w:val="C00000"/>
        </w:rPr>
        <w:t xml:space="preserve">Prioridad: Alta  |  </w:t>
      </w:r>
      <w:r>
        <w:t>Evidencia: Hay 174 fallos de campo y 23 listas omitidas porque campos obligatorios como Fecha1, Fecha2, Año, Mes y Día no se pudieron crear o actualizar. Los logs incluyen nombres de campo no válidos, columnas inexistentes (incluidas Fecha1/Año) y fórmulas no admitidas.</w:t>
      </w:r>
    </w:p>
    <w:p>
      <w:pPr>
        <w:spacing w:after="60"/>
      </w:pPr>
      <w:r>
        <w:rPr>
          <w:b/>
        </w:rPr>
        <w:t xml:space="preserve">Causa probable: </w:t>
      </w:r>
      <w:r>
        <w:t>Desajuste entre esquema de origen y destino: columnas ausentes, nombres internos/acentuados o tipos incompatibles, conflictos con campos existentes y fórmulas clásicas no aceptadas.</w:t>
      </w:r>
    </w:p>
    <w:p>
      <w:pPr>
        <w:spacing w:after="60"/>
      </w:pPr>
      <w:r>
        <w:rPr>
          <w:b/>
        </w:rPr>
        <w:t xml:space="preserve">Cómo solucionarlo: </w:t>
      </w:r>
      <w:r>
        <w:t>Inventariar por lista nombres visibles e internos, GUID, tipo, obligatoriedad y fórmulas. Definir un mapeo; precrear o corregir columnas compatibles antes de migrar elementos; simplificar/reconstruir fórmulas y ajustar vistas. Reintentar primero las listas en un piloto.</w:t>
      </w:r>
    </w:p>
    <w:p>
      <w:pPr>
        <w:spacing w:after="140"/>
      </w:pPr>
      <w:r>
        <w:rPr>
          <w:b/>
        </w:rPr>
        <w:t xml:space="preserve">Validación: </w:t>
      </w:r>
      <w:r>
        <w:t>Las 23 listas contienen el número esperado de elementos; campos obligatorios presentes y formularios, filtros y fórmulas de muestra operativos.</w:t>
      </w:r>
    </w:p>
    <w:p>
      <w:pPr>
        <w:pStyle w:val="Heading3"/>
      </w:pPr>
      <w:r>
        <w:t>Cómo preparar, ejecutar y validar el esquema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Usar StructureFailureReport_R1.csv para identificar las 23 listas y los campos obligatorios que no se crearon. La tabla siguiente enlaza cada lista afectada en origen y la ruta de destino que registró la migración.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En cada lista de origen, abrir Configuración &gt; Configuración de la lista &gt; Columnas. Registrar nombre visible, nombre interno cuando esté disponible, tipo de dato, obligatoriedad, valor predeterminado, unicidad, opciones de elección, fórmula, búsqueda y tipo de contenido. Guardar una captura o inventario aprobado.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En destino, abrir la lista correspondiente y revisar Configuración &gt; Columnas. Comparar elemento por elemento; no basta con que el nombre visible coincida: el tipo, el uso requerido y las referencias internas también deben ser compatibles.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Resolver primero columnas base que fallan repetidamente: Fecha1, Fecha2, Año (el log también la referencia como A_x00f1_o), Mes, Día, Nombre1, Materia1, Tema y ABR1, según la lista. Confirmar con el propietario cuál es la semántica y tipo correcto; no convertir automáticamente texto a fecha ni asignar valores predeterminados ficticios.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Crear o corregir columnas compatibles en destino antes de reintentar contenido. Atención: SharePoint puede fijar el nombre interno al crear la columna; renombrar su etiqueta después no cambia necesariamente ese identificador. Si una vista o fórmula exige un nombre interno específico, acordar la estrategia con el administrador y probarla en una lista piloto; no borrar columnas existentes sin evaluar dependencias.</w:t>
      </w:r>
    </w:p>
    <w:p>
      <w:pPr>
        <w:spacing w:after="60"/>
        <w:ind w:left="230" w:hanging="230"/>
      </w:pPr>
      <w:r>
        <w:rPr>
          <w:b/>
        </w:rPr>
        <w:t xml:space="preserve">6. </w:t>
      </w:r>
      <w:r>
        <w:t>Revisar fórmulas y campos calculados. Reescribir expresiones incompatibles para el destino y comprobar delimitadores, nombres internos y referencias. Para campos de búsqueda, validar primero la lista referenciada y sus valores; para tipos o funciones no equivalentes, acordar una alternativa funcional.</w:t>
      </w:r>
    </w:p>
    <w:p>
      <w:pPr>
        <w:spacing w:after="60"/>
        <w:ind w:left="230" w:hanging="230"/>
      </w:pPr>
      <w:r>
        <w:rPr>
          <w:b/>
        </w:rPr>
        <w:t xml:space="preserve">7. </w:t>
      </w:r>
      <w:r>
        <w:t>Reintentar una lista piloto con pocos elementos. Verificar conteo, campos obligatorios no vacíos, tipos/formato, adjuntos, permisos y vistas; luego ampliar por grupos de listas y guardar el reporte de cada ronda.</w:t>
      </w:r>
    </w:p>
    <w:p>
      <w:pPr>
        <w:spacing w:after="60"/>
        <w:ind w:left="230" w:hanging="230"/>
      </w:pPr>
      <w:r>
        <w:rPr>
          <w:b/>
        </w:rPr>
        <w:t xml:space="preserve">8. </w:t>
      </w:r>
      <w:r>
        <w:t>No completar filas obligatorias con datos inventados. Si un campo no tiene equivalente, definir con el responsable si se transforma, se conserva en un campo alternativo o se acepta como excepción.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Lista afectada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Campos obligatorios citados en el error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Origen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Destino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Complemento salarial-Cargos directivos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1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2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Dietas RPC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3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4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Contrataciones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FECHA1,NOMBRE1,FECHA2,Año,Día,Mes,ABR1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5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6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Contrataciones 2016-2019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FECHA1,NOMBRE1,MATERIA1,Tema,FECHA2,Año,Día,Mes,ABR1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7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8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Horas Extra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39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0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Jubilaciones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FECHA1,NOMBRE1,FECHA2,Año,Día,Mes,ABR1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2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Embargos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3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4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INSS Prestaciones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5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6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MUFACE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7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8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Licencias Maternales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FECHA1,NOMBRE1,Año,FECHA2,Mes,ABR1,Día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49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0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Mutua y Accidentes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1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2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Pasivos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3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4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Reconocimientos de servicios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5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6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Reducciones de Jornada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7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8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Reparto de Empleo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59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0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Regularizaciones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1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2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Seguros Sociales Concertados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Fecha1,Año,Fecha2,Mes,Día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3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4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Sentencias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5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6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Situaciones Administrativas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FECHA1,NOMBRE1,FECHA2,Año,Día,Mes,ABR1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7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8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Permisos Sin Sueldos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69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0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TGSS Incidencias Afiliación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1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2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TGSS Cotización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Fecha1,Fecha2,Año,Mes,Día,Nombre1,Materia1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3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4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Situaciones Administrativas 2015-2021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2"/>
              </w:rPr>
              <w:t>FECHA1,NOMBRE1,FECHA2,Año,Día,Mes,ABR1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5">
              <w:r>
                <w:rPr>
                  <w:color w:val="0563C1"/>
                  <w:u w:val="single"/>
                </w:rPr>
                <w:t>Abrir origen</w:t>
              </w:r>
            </w:hyperlink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2"/>
              </w:rPr>
            </w:r>
            <w:hyperlink r:id="rId76">
              <w:r>
                <w:rPr>
                  <w:color w:val="0563C1"/>
                  <w:u w:val="single"/>
                </w:rPr>
                <w:t>Abrir destino</w:t>
              </w:r>
            </w:hyperlink>
          </w:p>
        </w:tc>
      </w:tr>
    </w:tbl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2"/>
      </w:pPr>
      <w:r>
        <w:t>4.3 Vistas con columnas o fórmulas no disponibles</w:t>
      </w:r>
    </w:p>
    <w:p>
      <w:pPr>
        <w:spacing w:after="60"/>
      </w:pPr>
      <w:r>
        <w:rPr>
          <w:b/>
          <w:color w:val="BF7500"/>
        </w:rPr>
        <w:t xml:space="preserve">Prioridad: Media-alta  |  </w:t>
      </w:r>
      <w:r>
        <w:t>Evidencia: 72 registros de fallo de vista. El log menciona columnas inexistentes y fórmulas con error de sintaxis o no admitidas.</w:t>
      </w:r>
    </w:p>
    <w:p>
      <w:pPr>
        <w:spacing w:after="60"/>
      </w:pPr>
      <w:r>
        <w:rPr>
          <w:b/>
        </w:rPr>
        <w:t xml:space="preserve">Causa probable: </w:t>
      </w:r>
      <w:r>
        <w:t>Las vistas se procesaron cuando faltaban columnas o incluyen expresiones/consultas clásicas incompatibles con el destino.</w:t>
      </w:r>
    </w:p>
    <w:p>
      <w:pPr>
        <w:spacing w:after="60"/>
      </w:pPr>
      <w:r>
        <w:rPr>
          <w:b/>
        </w:rPr>
        <w:t xml:space="preserve">Cómo solucionarlo: </w:t>
      </w:r>
      <w:r>
        <w:t>Después de estabilizar el esquema, recrear las vistas con nombres internos correctos y expresiones compatibles. Priorizar las vistas usadas por los equipos.</w:t>
      </w:r>
    </w:p>
    <w:p>
      <w:pPr>
        <w:spacing w:after="140"/>
      </w:pPr>
      <w:r>
        <w:rPr>
          <w:b/>
        </w:rPr>
        <w:t xml:space="preserve">Validación: </w:t>
      </w:r>
      <w:r>
        <w:t>Las vistas prioritarias se abren, muestran campos correctos y aplican filtros esperados; las excepciones quedan documentadas.</w:t>
      </w:r>
    </w:p>
    <w:p>
      <w:pPr>
        <w:pStyle w:val="Heading3"/>
      </w:pPr>
      <w:r>
        <w:t>Prueba paso a paso de las vistas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Abrir la lista afectada desde los enlaces de origen/destino del apartado 4.2; antes de tocar la vista, comprobar que todas las columnas que usa ya existen en destino.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En destino, abrir Configuración de la lista &gt; Vistas y editar una vista fallida. Revisar columnas mostradas, filtros, ordenación, agrupación, totales y límites; corregir nombres internos y retirar temporalmente solo las referencias incompatibles.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Guardar una copia o anotar la configuración actual antes de cambiarla. Comparar con la vista de origen y validar el comportamiento esperado con el propietario funcional.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Probar la vista con registros representativos, incluidos valores vacíos y fechas; comprobarla con un usuario con permisos habituales, no únicamente con el administrador.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Repetir para vistas prioritarias, documentar las sustituciones y revisar StructureFailureReport_R1.csv tras una ronda de migración de estructura.</w:t>
      </w:r>
    </w:p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2"/>
      </w:pPr>
      <w:r>
        <w:t>4.4 Navegación que apunta a páginas inexistentes</w:t>
      </w:r>
    </w:p>
    <w:p>
      <w:pPr>
        <w:spacing w:after="60"/>
      </w:pPr>
      <w:r>
        <w:rPr>
          <w:b/>
          <w:color w:val="BF7500"/>
        </w:rPr>
        <w:t xml:space="preserve">Prioridad: Media  |  </w:t>
      </w:r>
      <w:r>
        <w:t>Evidencia: 150 errores de nodos de navegación; el registro detalla rutas /Paginas/*.aspx que el destino no puede abrir. La migración de navegación está activa y la opción de páginas es RENAME.</w:t>
      </w:r>
    </w:p>
    <w:p>
      <w:pPr>
        <w:spacing w:after="60"/>
      </w:pPr>
      <w:r>
        <w:rPr>
          <w:b/>
        </w:rPr>
        <w:t xml:space="preserve">Causa probable: </w:t>
      </w:r>
      <w:r>
        <w:t>Los nodos conservan URL de páginas no migradas, renombradas o en otra ruta; el proceso no resuelve automáticamente esa correspondencia.</w:t>
      </w:r>
    </w:p>
    <w:p>
      <w:pPr>
        <w:spacing w:after="60"/>
      </w:pPr>
      <w:r>
        <w:rPr>
          <w:b/>
        </w:rPr>
        <w:t xml:space="preserve">Cómo solucionarlo: </w:t>
      </w:r>
      <w:r>
        <w:t>Migrar/publicar primero las páginas necesarias, obtener sus URL de destino y actualizar enlaces. Retirar enlaces obsoletos solo con aprobación funcional; repetir la navegación.</w:t>
      </w:r>
    </w:p>
    <w:p>
      <w:pPr>
        <w:spacing w:after="140"/>
      </w:pPr>
      <w:r>
        <w:rPr>
          <w:b/>
        </w:rPr>
        <w:t xml:space="preserve">Validación: </w:t>
      </w:r>
      <w:r>
        <w:t>Recorrer los enlaces y comprobar que apuntan a páginas accesibles; documentar los omitidos.</w:t>
      </w:r>
    </w:p>
    <w:p>
      <w:pPr>
        <w:pStyle w:val="Heading3"/>
      </w:pPr>
      <w:r>
        <w:t>Prueba paso a paso de navegación y páginas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Abrir el sitio de origen y anotar los enlaces de navegación que dan error. El log registra rutas de ejemplo como /Paginas/Cotizacion.aspx, /Paginas/Mutua.aspx y /Paginas/LicenciasMaternales.aspx; confirmar cuáles siguen vigentes con el propietario.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En el destino, buscar cada página en la biblioteca Páginas/Site Pages y probar su URL directamente. La URL del destino indicada en el log no se debe considerar válida hasta comprobar que responde y muestra la página correcta.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Si falta la página, migrarla/publicarla primero o acordar una página sustituta. Si fue renombrada, anotar la URL final; no inferir la ruta solo a partir del nombre visible.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Editar la navegación del sitio y actualizar el vínculo con la URL confirmada. Si una entrada es obsoleta, retirarla solo tras aprobación del responsable.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Probar los enlaces desde la navegación con una cuenta estándar y revisar rutas internas, enlaces externos y acceso móvil si se usa. Volver a consultar los fallos de navegación en el reporte.</w:t>
      </w:r>
    </w:p>
    <w:p>
      <w:pPr>
        <w:spacing w:after="80"/>
      </w:pPr>
      <w:r>
        <w:t xml:space="preserve">Ejemplo de ruta de destino registrada en el log: </w:t>
      </w:r>
      <w:hyperlink r:id="rId77">
        <w:r>
          <w:rPr>
            <w:color w:val="0563C1"/>
            <w:u w:val="single"/>
          </w:rPr>
          <w:t>https://hiberusspo365demo.sharepoint.com/sites/GN_GCinterna/servicionominasyestudioseconomicos/Paginas/Cotizacion.aspx</w:t>
        </w:r>
      </w:hyperlink>
      <w:r>
        <w:t xml:space="preserve"> (el registro indica que no se podía abrir; confirme la ubicación actual antes de usarla).</w:t>
      </w:r>
    </w:p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2"/>
      </w:pPr>
      <w:r>
        <w:t>4.5 Usuarios y permisos sin correspondencia</w:t>
      </w:r>
    </w:p>
    <w:p>
      <w:pPr>
        <w:spacing w:after="60"/>
      </w:pPr>
      <w:r>
        <w:rPr>
          <w:b/>
          <w:color w:val="C00000"/>
        </w:rPr>
        <w:t xml:space="preserve">Prioridad: Alta  |  </w:t>
      </w:r>
      <w:r>
        <w:t>Evidencia: UserNotMapped_R1.csv contiene 293 registros. GlobalSettings informa archivo de mapeo vacío y mapeo automático desactivado; la preservación de permisos de SharePoint Server está activa. El log registra identidades de Active Directory que no encuentra.</w:t>
      </w:r>
    </w:p>
    <w:p>
      <w:pPr>
        <w:spacing w:after="60"/>
      </w:pPr>
      <w:r>
        <w:rPr>
          <w:b/>
        </w:rPr>
        <w:t xml:space="preserve">Causa probable: </w:t>
      </w:r>
      <w:r>
        <w:t>Cuentas/grupos del dominio de origen pueden no existir con el mismo identificador en Microsoft 365 o no tener equivalencia definida. Las entradas pueden incluir cuentas históricas/grupos; deben clasificarse.</w:t>
      </w:r>
    </w:p>
    <w:p>
      <w:pPr>
        <w:spacing w:after="60"/>
      </w:pPr>
      <w:r>
        <w:rPr>
          <w:b/>
        </w:rPr>
        <w:t xml:space="preserve">Cómo solucionarlo: </w:t>
      </w:r>
      <w:r>
        <w:t>Clasificar entradas por usuario, grupo, cuenta obsoleta y servicio; validar equivalencias a UPN/grupos destino; configurar archivo de mapeo o mapeo automático según la política. Decidir el tratamiento de autores/permisos sin equivalente y volver a procesar permisos.</w:t>
      </w:r>
    </w:p>
    <w:p>
      <w:pPr>
        <w:spacing w:after="140"/>
      </w:pPr>
      <w:r>
        <w:rPr>
          <w:b/>
        </w:rPr>
        <w:t xml:space="preserve">Validación: </w:t>
      </w:r>
      <w:r>
        <w:t>El informe de no mapeados queda vacío o cada excepción está aprobada; probar acceso con cuentas representativas y revisar permisos.</w:t>
      </w:r>
    </w:p>
    <w:p>
      <w:pPr>
        <w:pStyle w:val="Heading3"/>
      </w:pPr>
      <w:r>
        <w:t>Prueba paso a paso del mapeo y permisos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Abrir UserNotMapped_R1.csv y clasificar cada entrada como usuario, grupo, cuenta de servicio o identidad obsoleta. No asumir que los 293 registros son 293 personas únicas.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Con el responsable de identidad, decidir la equivalencia de origen a UPN/grupo de destino y aprobar el tratamiento de cuentas sin equivalente. No mapear varias identidades a una cuenta genérica sin una decisión formal.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Descargar la plantilla de mapeo de la versión de la herramienta de migración utilizada y seguir su formato exacto; el archivo de mapeo de esta ejecución estaba vacío y el mapeo automático desactivado. Validar duplicados y formato antes de cargarlo.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En una biblioteca de prueba, migrar un elemento con permisos heredados y otro con permisos únicos. Comparar miembros/grupos, nivel de acceso, herencia, propietario/autor y acceso efectivo.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Tras la ejecución, revisar UserNotMapped_R1.csv y probar acceso con cuentas representativas de lectura y edición. Registrar excepciones aprobadas y quién las autorizó.</w:t>
      </w:r>
    </w:p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2"/>
      </w:pPr>
      <w:r>
        <w:t>4.6 Características clásicas de publicación</w:t>
      </w:r>
    </w:p>
    <w:p>
      <w:pPr>
        <w:spacing w:after="60"/>
      </w:pPr>
      <w:r>
        <w:rPr>
          <w:b/>
          <w:color w:val="BF7500"/>
        </w:rPr>
        <w:t xml:space="preserve">Prioridad: Media  |  </w:t>
      </w:r>
      <w:r>
        <w:t>Evidencia: 12 errores de características: PublishingWeb (8), Navigation (2) y PublishingPrerequisites (2).</w:t>
      </w:r>
    </w:p>
    <w:p>
      <w:pPr>
        <w:spacing w:after="60"/>
      </w:pPr>
      <w:r>
        <w:rPr>
          <w:b/>
        </w:rPr>
        <w:t xml:space="preserve">Causa probable: </w:t>
      </w:r>
      <w:r>
        <w:t>El destino no tiene la característica habilitada, no cumple prerrequisitos o no admite el mismo comportamiento clásico.</w:t>
      </w:r>
    </w:p>
    <w:p>
      <w:pPr>
        <w:spacing w:after="60"/>
      </w:pPr>
      <w:r>
        <w:rPr>
          <w:b/>
        </w:rPr>
        <w:t xml:space="preserve">Cómo solucionarlo: </w:t>
      </w:r>
      <w:r>
        <w:t>Confirmar con el administrador qué características se permiten y si deben habilitarse en orden. Si una característica clásica no es compatible/recomendada, sustituirla por una experiencia compatible; no activarla sin evaluar el impacto.</w:t>
      </w:r>
    </w:p>
    <w:p>
      <w:pPr>
        <w:spacing w:after="140"/>
      </w:pPr>
      <w:r>
        <w:rPr>
          <w:b/>
        </w:rPr>
        <w:t xml:space="preserve">Validación: </w:t>
      </w:r>
      <w:r>
        <w:t>La función equivalente queda operativa y no persisten errores de características sin responsable.</w:t>
      </w:r>
    </w:p>
    <w:p>
      <w:pPr>
        <w:pStyle w:val="Heading3"/>
      </w:pPr>
      <w:r>
        <w:t>Prueba paso a paso de características de publicación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En el sitio destino, abrir Configuración del sitio y revisar las características de sitio y de colección de sitios, identificando PublishingWeb, Navigation y PublishingPrerequisites.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Pedir al administrador del tenant que confirme soporte, disponibilidad y prerrequisitos; revisar primero el impacto en el sitio y no activar características a ciegas ni mediante una cuenta no autorizada.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Si están soportadas y aprobadas, habilitar prerrequisitos en el orden indicado por el administrador y ejecutar una prueba en sitio no productivo; comprobar páginas, navegación y permisos.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Si no se admiten o no convienen, acordar una alternativa moderna/compatible que cubra la función, migrar contenido necesario y validar la experiencia con los usuarios.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Revisar el nuevo StructureFailureReport y registrar qué errores se resolvieron o aceptaron.</w:t>
      </w:r>
    </w:p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2"/>
      </w:pPr>
      <w:r>
        <w:t>4.7 Acceso al sitio destino (observación)</w:t>
      </w:r>
    </w:p>
    <w:p>
      <w:pPr>
        <w:spacing w:after="60"/>
      </w:pPr>
      <w:r>
        <w:rPr>
          <w:b/>
          <w:color w:val="4472C4"/>
        </w:rPr>
        <w:t xml:space="preserve">Prioridad: A revisar  |  </w:t>
      </w:r>
      <w:r>
        <w:t>Evidencia: El log inicial registra cuatro HTTP 403 durante comprobaciones del sitio raíz de destino. La ejecución posterior figura como completada; no se establece causalidad con los diez archivos pendientes.</w:t>
      </w:r>
    </w:p>
    <w:p>
      <w:pPr>
        <w:spacing w:after="60"/>
      </w:pPr>
      <w:r>
        <w:rPr>
          <w:b/>
        </w:rPr>
        <w:t xml:space="preserve">Causa probable: </w:t>
      </w:r>
      <w:r>
        <w:t>Permisos insuficientes de la cuenta, acceso al sitio raíz distinto al subsitio o comprobación inicial/transitoria.</w:t>
      </w:r>
    </w:p>
    <w:p>
      <w:pPr>
        <w:spacing w:after="60"/>
      </w:pPr>
      <w:r>
        <w:rPr>
          <w:b/>
        </w:rPr>
        <w:t xml:space="preserve">Cómo solucionarlo: </w:t>
      </w:r>
      <w:r>
        <w:t>Verificar acceso efectivo de la cuenta de migración al sitio destino y raíz, y permisos para crear listas, columnas, vistas, páginas y navegación. Revisar con el administrador.</w:t>
      </w:r>
    </w:p>
    <w:p>
      <w:pPr>
        <w:spacing w:after="140"/>
      </w:pPr>
      <w:r>
        <w:rPr>
          <w:b/>
        </w:rPr>
        <w:t xml:space="preserve">Validación: </w:t>
      </w:r>
      <w:r>
        <w:t>La cuenta puede consultar y modificar los destinos previstos; la siguiente ejecución no registra 403.</w:t>
      </w:r>
    </w:p>
    <w:p>
      <w:pPr>
        <w:pStyle w:val="Heading3"/>
      </w:pPr>
      <w:r>
        <w:t>Prueba paso a paso de acceso HTTP 403</w:t>
      </w:r>
    </w:p>
    <w:p>
      <w:pPr>
        <w:spacing w:after="60"/>
        <w:ind w:left="230" w:hanging="230"/>
      </w:pPr>
      <w:r>
        <w:rPr>
          <w:b/>
        </w:rPr>
        <w:t xml:space="preserve">1. </w:t>
      </w:r>
      <w:r>
        <w:t>Con la misma cuenta de migración, iniciar sesión en el navegador y abrir primero el sitio raíz destino y luego el sitio destino del proyecto. Registrar URL, hora, cuenta usada y resultado; no compartir credenciales.</w:t>
      </w:r>
    </w:p>
    <w:p>
      <w:pPr>
        <w:spacing w:after="60"/>
        <w:ind w:left="230" w:hanging="230"/>
      </w:pPr>
      <w:r>
        <w:rPr>
          <w:b/>
        </w:rPr>
        <w:t xml:space="preserve">2. </w:t>
      </w:r>
      <w:r>
        <w:t>Si el navegador devuelve 403, pedir al administrador que confirme acceso al sitio raíz y al sitio del proyecto, licencia, política de acceso condicional y permisos necesarios para leer/crear la estructura migrada.</w:t>
      </w:r>
    </w:p>
    <w:p>
      <w:pPr>
        <w:spacing w:after="60"/>
        <w:ind w:left="230" w:hanging="230"/>
      </w:pPr>
      <w:r>
        <w:rPr>
          <w:b/>
        </w:rPr>
        <w:t xml:space="preserve">3. </w:t>
      </w:r>
      <w:r>
        <w:t>Si el navegador abre el sitio, repetir desde la herramienta con esa cuenta y revisar el log/correlation ID del error. Confirmar que la sesión/autenticación configurada en la herramienta corresponde a la misma identidad y tenant.</w:t>
      </w:r>
    </w:p>
    <w:p>
      <w:pPr>
        <w:spacing w:after="60"/>
        <w:ind w:left="230" w:hanging="230"/>
      </w:pPr>
      <w:r>
        <w:rPr>
          <w:b/>
        </w:rPr>
        <w:t xml:space="preserve">4. </w:t>
      </w:r>
      <w:r>
        <w:t>Probar operaciones de bajo impacto en un destino de prueba: listar contenido y, con aprobación, crear/eliminar un elemento de prueba. No hacer pruebas de escritura en producción sin permiso.</w:t>
      </w:r>
    </w:p>
    <w:p>
      <w:pPr>
        <w:spacing w:after="60"/>
        <w:ind w:left="230" w:hanging="230"/>
      </w:pPr>
      <w:r>
        <w:rPr>
          <w:b/>
        </w:rPr>
        <w:t xml:space="preserve">5. </w:t>
      </w:r>
      <w:r>
        <w:t>Repetir una comprobación controlada y verificar que no aparecen 403. Mantener este hallazgo separado de los errores de empaquetado, cuya relación no quedó demostrada.</w:t>
      </w:r>
    </w:p>
    <w:p>
      <w:pPr>
        <w:spacing w:after="100"/>
      </w:pPr>
      <w:r>
        <w:rPr>
          <w:b/>
        </w:rPr>
        <w:t xml:space="preserve">URL registradas: </w:t>
      </w:r>
      <w:hyperlink r:id="rId29">
        <w:r>
          <w:rPr>
            <w:color w:val="0563C1"/>
            <w:u w:val="single"/>
          </w:rPr>
          <w:t>Sitio de origen</w:t>
        </w:r>
      </w:hyperlink>
      <w:r>
        <w:t xml:space="preserve">  |  </w:t>
      </w:r>
      <w:hyperlink r:id="rId30">
        <w:r>
          <w:rPr>
            <w:color w:val="0563C1"/>
            <w:u w:val="single"/>
          </w:rPr>
          <w:t>Sitio de destino</w:t>
        </w:r>
      </w:hyperlink>
    </w:p>
    <w:p>
      <w:pPr>
        <w:pStyle w:val="Heading1"/>
      </w:pPr>
      <w:r>
        <w:t>5. Orden recomendado de trabajo</w:t>
      </w:r>
    </w:p>
    <w:p>
      <w:pPr>
        <w:pStyle w:val="ListBullet"/>
        <w:spacing w:after="40"/>
      </w:pPr>
      <w:r>
        <w:t>Resolver acceso de la cuenta de migración y clasificar las 293 entradas sin mapear; aprobar el tratamiento de identidades obsoletas.</w:t>
      </w:r>
    </w:p>
    <w:p>
      <w:pPr>
        <w:pStyle w:val="ListBullet"/>
        <w:spacing w:after="40"/>
      </w:pPr>
      <w:r>
        <w:t>Alinear el esquema: crear/corregir columnas y tipos antes de listas y elementos; revisar fórmulas y referencias.</w:t>
      </w:r>
    </w:p>
    <w:p>
      <w:pPr>
        <w:pStyle w:val="ListBullet"/>
        <w:spacing w:after="40"/>
      </w:pPr>
      <w:r>
        <w:t>Reintentar las 23 listas y comprobar datos; después reconstruir vistas dependientes.</w:t>
      </w:r>
    </w:p>
    <w:p>
      <w:pPr>
        <w:pStyle w:val="ListBullet"/>
        <w:spacing w:after="40"/>
      </w:pPr>
      <w:r>
        <w:t>Migrar/publicar las páginas faltantes y corregir los 150 nodos de navegación.</w:t>
      </w:r>
    </w:p>
    <w:p>
      <w:pPr>
        <w:pStyle w:val="ListBullet"/>
        <w:spacing w:after="40"/>
      </w:pPr>
      <w:r>
        <w:t>Reprocesar individualmente los diez archivos fallidos, verificando origen y entorno de empaquetado.</w:t>
      </w:r>
    </w:p>
    <w:p>
      <w:pPr>
        <w:pStyle w:val="ListBullet"/>
        <w:spacing w:after="40"/>
      </w:pPr>
      <w:r>
        <w:t>Resolver o sustituir características clásicas; ejecutar validación funcional con responsables del área.</w:t>
      </w:r>
    </w:p>
    <w:p>
      <w:pPr>
        <w:pStyle w:val="Heading1"/>
      </w:pPr>
      <w:r>
        <w:t>6. Criterios de cierre</w:t>
      </w:r>
    </w:p>
    <w:p>
      <w:pPr>
        <w:pStyle w:val="ListBullet"/>
        <w:spacing w:after="40"/>
      </w:pPr>
      <w:r>
        <w:t>Conciliar 626/626 elementos y bytes entre origen e informe final; cero fallos o excepciones aprobadas.</w:t>
      </w:r>
    </w:p>
    <w:p>
      <w:pPr>
        <w:pStyle w:val="ListBullet"/>
        <w:spacing w:after="40"/>
      </w:pPr>
      <w:r>
        <w:t>Revisar contenido y permisos de las 23 listas; confirmar columnas obligatorias y vistas críticas.</w:t>
      </w:r>
    </w:p>
    <w:p>
      <w:pPr>
        <w:pStyle w:val="ListBullet"/>
        <w:spacing w:after="40"/>
      </w:pPr>
      <w:r>
        <w:t>Verificar enlaces de navegación y páginas accesibles.</w:t>
      </w:r>
    </w:p>
    <w:p>
      <w:pPr>
        <w:pStyle w:val="ListBullet"/>
        <w:spacing w:after="40"/>
      </w:pPr>
      <w:r>
        <w:t>Resolver usuarios/grupos no mapeados o aceptarlos formalmente; probar permisos con cuentas representativas.</w:t>
      </w:r>
    </w:p>
    <w:p>
      <w:pPr>
        <w:pStyle w:val="ListBullet"/>
        <w:spacing w:after="40"/>
      </w:pPr>
      <w:r>
        <w:t>No dejar HTTP 403 ni fallos de características que afecten funciones necesarias.</w:t>
      </w:r>
    </w:p>
    <w:p>
      <w:pPr>
        <w:pStyle w:val="ListBullet"/>
        <w:spacing w:after="40"/>
      </w:pPr>
      <w:r>
        <w:t>Conservar SummaryReport, FailureSummaryReport, StructureFailureReport, ItemFailureReport y logs de cierre.</w:t>
      </w:r>
    </w:p>
    <w:p>
      <w:r>
        <w:t>Los enlaces son las URL de origen y destino consignadas por la herramienta en la ejecución revisada; pueden requerir VPN, autenticación o permisos y no garantizan que el elemento siga actualmente en esa ruta. Las rutas de destino con errores deben comprobarse antes de volver a utilizarlas.</w:t>
      </w:r>
    </w:p>
    <w:p>
      <w:pPr>
        <w:pStyle w:val="Heading1"/>
      </w:pPr>
      <w:r>
        <w:t>7. Limitaciones y archivos revisados</w:t>
      </w:r>
    </w:p>
    <w:p>
      <w:r>
        <w:t>La causa de los fallos de empaquetado no queda identificada de forma concluyente: el mensaje es genérico y el error del servidor aparece como N/A. Los tamaños elevados y las comprobaciones de almacenamiento/permisos son líneas de diagnóstico, no causas confirmadas. Los conteos de estructura son registros de informe y pueden incluir operaciones repetidas; no equivalen necesariamente a objetos únicos. No se validó el estado actual en SharePoint.</w:t>
      </w:r>
    </w:p>
    <w:p>
      <w:pPr>
        <w:pStyle w:val="ListBullet"/>
        <w:spacing w:after="40"/>
      </w:pPr>
      <w:r>
        <w:t>WF_a150ca5e-20261019T142332Z-1-001: SummaryReport.csv, FailureSummaryReport.csv, ItemSummary.csv, ItemFailureReport_R1.csv, StructureFailureReport_R1.csv y Migrations.log.</w:t>
      </w:r>
    </w:p>
    <w:p>
      <w:pPr>
        <w:pStyle w:val="ListBullet"/>
        <w:spacing w:after="40"/>
      </w:pPr>
      <w:r>
        <w:t>WF_d769c69c: SummaryReport.csv, FailureSummaryReport.csv, ItemSummary.csv, ItemFailureReport_R1.csv, StructureFailureReport_R1.csv, UserMapped_R1.csv, UserNotMapped_R1.csv, GlobalSettings.csv y registros Migrations*.log.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Análisis basado en los informes y registros entregados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INFORME DE MIGRACIÓN  |  ANÁLISIS DE INCIDENCIAS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cinterna.admon-cfnavarra.es/Corporativa00/ServicioNominasyEstudiosEconomicos/Expedientes/S/SAN_SAY.pdf" TargetMode="External"/><Relationship Id="rId12" Type="http://schemas.openxmlformats.org/officeDocument/2006/relationships/hyperlink" Target="https://hiberusspo365demo.sharepoint.com/sites/GN_GCinterna/servicionominasyestudioseconomicos/Expedientes/S/SAN_SAY.pdf" TargetMode="External"/><Relationship Id="rId13" Type="http://schemas.openxmlformats.org/officeDocument/2006/relationships/hyperlink" Target="https://gcinterna.admon-cfnavarra.es/Corporativa00/ServicioNominasyEstudiosEconomicos/Expedientes/H/H_1.pdf" TargetMode="External"/><Relationship Id="rId14" Type="http://schemas.openxmlformats.org/officeDocument/2006/relationships/hyperlink" Target="https://hiberusspo365demo.sharepoint.com/sites/GN_GCinterna/servicionominasyestudioseconomicos/Expedientes/H/H_1.pdf" TargetMode="External"/><Relationship Id="rId15" Type="http://schemas.openxmlformats.org/officeDocument/2006/relationships/hyperlink" Target="https://gcinterna.admon-cfnavarra.es/Corporativa00/ServicioNominasyEstudiosEconomicos/Expedientes/G/GARCES_GARCIA_ROS.pdf" TargetMode="External"/><Relationship Id="rId16" Type="http://schemas.openxmlformats.org/officeDocument/2006/relationships/hyperlink" Target="https://hiberusspo365demo.sharepoint.com/sites/GN_GCinterna/servicionominasyestudioseconomicos/Expedientes/G/GARCES_GARCIA_ROS.pdf" TargetMode="External"/><Relationship Id="rId17" Type="http://schemas.openxmlformats.org/officeDocument/2006/relationships/hyperlink" Target="https://gcinterna.admon-cfnavarra.es/Corporativa00/ServicioNominasyEstudiosEconomicos/Expedientes/G/GELABERT_GOMEZDESEGURA.pdf" TargetMode="External"/><Relationship Id="rId18" Type="http://schemas.openxmlformats.org/officeDocument/2006/relationships/hyperlink" Target="https://hiberusspo365demo.sharepoint.com/sites/GN_GCinterna/servicionominasyestudioseconomicos/Expedientes/G/GELABERT_GOMEZDESEGURA.pdf" TargetMode="External"/><Relationship Id="rId19" Type="http://schemas.openxmlformats.org/officeDocument/2006/relationships/hyperlink" Target="https://gcinterna.admon-cfnavarra.es/Corporativa00/ServicioNominasyEstudiosEconomicos/Expedientes/G/GABA-GARBI.pdf" TargetMode="External"/><Relationship Id="rId20" Type="http://schemas.openxmlformats.org/officeDocument/2006/relationships/hyperlink" Target="https://hiberusspo365demo.sharepoint.com/sites/GN_GCinterna/servicionominasyestudioseconomicos/Expedientes/G/GABA-GARBI.pdf" TargetMode="External"/><Relationship Id="rId21" Type="http://schemas.openxmlformats.org/officeDocument/2006/relationships/hyperlink" Target="https://gcinterna.admon-cfnavarra.es/Corporativa00/ServicioNominasyEstudiosEconomicos/Expedientes/G/G_1.pdf" TargetMode="External"/><Relationship Id="rId22" Type="http://schemas.openxmlformats.org/officeDocument/2006/relationships/hyperlink" Target="https://hiberusspo365demo.sharepoint.com/sites/GN_GCinterna/servicionominasyestudioseconomicos/Expedientes/G/G_1.pdf" TargetMode="External"/><Relationship Id="rId23" Type="http://schemas.openxmlformats.org/officeDocument/2006/relationships/hyperlink" Target="https://gcinterna.admon-cfnavarra.es/Corporativa00/ServicioNominasyEstudiosEconomicos/Expedientes/H/H.pdf" TargetMode="External"/><Relationship Id="rId24" Type="http://schemas.openxmlformats.org/officeDocument/2006/relationships/hyperlink" Target="https://hiberusspo365demo.sharepoint.com/sites/GN_GCinterna/servicionominasyestudioseconomicos/Expedientes/H/H.pdf" TargetMode="External"/><Relationship Id="rId25" Type="http://schemas.openxmlformats.org/officeDocument/2006/relationships/hyperlink" Target="https://gcinterna.admon-cfnavarra.es/Corporativa00/ServicioNominasyEstudiosEconomicos/Expedientes/G/GARCIA_R_GAZTELURRUTIA.pdf" TargetMode="External"/><Relationship Id="rId26" Type="http://schemas.openxmlformats.org/officeDocument/2006/relationships/hyperlink" Target="https://hiberusspo365demo.sharepoint.com/sites/GN_GCinterna/servicionominasyestudioseconomicos/Expedientes/G/GARCIA_R_GAZTELURRUTIA.pdf" TargetMode="External"/><Relationship Id="rId27" Type="http://schemas.openxmlformats.org/officeDocument/2006/relationships/hyperlink" Target="https://gcinterna.admon-cfnavarra.es/Corporativa00/ServicioNominasyEstudiosEconomicos/Expedientes/G/GONZ_GU.pdf" TargetMode="External"/><Relationship Id="rId28" Type="http://schemas.openxmlformats.org/officeDocument/2006/relationships/hyperlink" Target="https://hiberusspo365demo.sharepoint.com/sites/GN_GCinterna/servicionominasyestudioseconomicos/Expedientes/G/GONZ_GU.pdf" TargetMode="External"/><Relationship Id="rId29" Type="http://schemas.openxmlformats.org/officeDocument/2006/relationships/hyperlink" Target="https://gcinterna.admon-cfnavarra.es/Corporativa00/ServicioNominasyEstudiosEconomicos" TargetMode="External"/><Relationship Id="rId30" Type="http://schemas.openxmlformats.org/officeDocument/2006/relationships/hyperlink" Target="https://hiberusspo365demo.sharepoint.com/sites/GN_GCinterna/servicionominasyestudioseconomicos" TargetMode="External"/><Relationship Id="rId31" Type="http://schemas.openxmlformats.org/officeDocument/2006/relationships/hyperlink" Target="https://gcinterna.admon-cfnavarra.es/Corporativa00/ServicioNominasyEstudiosEconomicos/emento%20salarialCargos%20directivos" TargetMode="External"/><Relationship Id="rId32" Type="http://schemas.openxmlformats.org/officeDocument/2006/relationships/hyperlink" Target="https://hiberusspo365demo.sharepoint.com/sites/GN_GCinterna/servicionominasyestudioseconomicos/emento%20salarialCargos%20directivos" TargetMode="External"/><Relationship Id="rId33" Type="http://schemas.openxmlformats.org/officeDocument/2006/relationships/hyperlink" Target="https://gcinterna.admon-cfnavarra.es/Corporativa00/ServicioNominasyEstudiosEconomicos/DietasRPC" TargetMode="External"/><Relationship Id="rId34" Type="http://schemas.openxmlformats.org/officeDocument/2006/relationships/hyperlink" Target="https://hiberusspo365demo.sharepoint.com/sites/GN_GCinterna/servicionominasyestudioseconomicos/DietasRPC" TargetMode="External"/><Relationship Id="rId35" Type="http://schemas.openxmlformats.org/officeDocument/2006/relationships/hyperlink" Target="https://gcinterna.admon-cfnavarra.es/Corporativa00/ServicioNominasyEstudiosEconomicos/Contrataciones" TargetMode="External"/><Relationship Id="rId36" Type="http://schemas.openxmlformats.org/officeDocument/2006/relationships/hyperlink" Target="https://hiberusspo365demo.sharepoint.com/sites/GN_GCinterna/servicionominasyestudioseconomicos/Contrataciones" TargetMode="External"/><Relationship Id="rId37" Type="http://schemas.openxmlformats.org/officeDocument/2006/relationships/hyperlink" Target="https://gcinterna.admon-cfnavarra.es/Corporativa00/ServicioNominasyEstudiosEconomicos/Contrataciones2016" TargetMode="External"/><Relationship Id="rId38" Type="http://schemas.openxmlformats.org/officeDocument/2006/relationships/hyperlink" Target="https://hiberusspo365demo.sharepoint.com/sites/GN_GCinterna/servicionominasyestudioseconomicos/Contrataciones2016" TargetMode="External"/><Relationship Id="rId39" Type="http://schemas.openxmlformats.org/officeDocument/2006/relationships/hyperlink" Target="https://gcinterna.admon-cfnavarra.es/Corporativa00/ServicioNominasyEstudiosEconomicos/HorasExtra" TargetMode="External"/><Relationship Id="rId40" Type="http://schemas.openxmlformats.org/officeDocument/2006/relationships/hyperlink" Target="https://hiberusspo365demo.sharepoint.com/sites/GN_GCinterna/servicionominasyestudioseconomicos/HorasExtra" TargetMode="External"/><Relationship Id="rId41" Type="http://schemas.openxmlformats.org/officeDocument/2006/relationships/hyperlink" Target="https://gcinterna.admon-cfnavarra.es/Corporativa00/ServicioNominasyEstudiosEconomicos/Jubilaciones" TargetMode="External"/><Relationship Id="rId42" Type="http://schemas.openxmlformats.org/officeDocument/2006/relationships/hyperlink" Target="https://hiberusspo365demo.sharepoint.com/sites/GN_GCinterna/servicionominasyestudioseconomicos/Jubilaciones" TargetMode="External"/><Relationship Id="rId43" Type="http://schemas.openxmlformats.org/officeDocument/2006/relationships/hyperlink" Target="https://gcinterna.admon-cfnavarra.es/Corporativa00/ServicioNominasyEstudiosEconomicos/Embargos" TargetMode="External"/><Relationship Id="rId44" Type="http://schemas.openxmlformats.org/officeDocument/2006/relationships/hyperlink" Target="https://hiberusspo365demo.sharepoint.com/sites/GN_GCinterna/servicionominasyestudioseconomicos/Embargos" TargetMode="External"/><Relationship Id="rId45" Type="http://schemas.openxmlformats.org/officeDocument/2006/relationships/hyperlink" Target="https://gcinterna.admon-cfnavarra.es/Corporativa00/ServicioNominasyEstudiosEconomicos/Prestaciones" TargetMode="External"/><Relationship Id="rId46" Type="http://schemas.openxmlformats.org/officeDocument/2006/relationships/hyperlink" Target="https://hiberusspo365demo.sharepoint.com/sites/GN_GCinterna/servicionominasyestudioseconomicos/Prestaciones" TargetMode="External"/><Relationship Id="rId47" Type="http://schemas.openxmlformats.org/officeDocument/2006/relationships/hyperlink" Target="https://gcinterna.admon-cfnavarra.es/Corporativa00/ServicioNominasyEstudiosEconomicos/MUFACE" TargetMode="External"/><Relationship Id="rId48" Type="http://schemas.openxmlformats.org/officeDocument/2006/relationships/hyperlink" Target="https://hiberusspo365demo.sharepoint.com/sites/GN_GCinterna/servicionominasyestudioseconomicos/MUFACE" TargetMode="External"/><Relationship Id="rId49" Type="http://schemas.openxmlformats.org/officeDocument/2006/relationships/hyperlink" Target="https://gcinterna.admon-cfnavarra.es/Corporativa00/ServicioNominasyEstudiosEconomicos/LicenciasMaternales" TargetMode="External"/><Relationship Id="rId50" Type="http://schemas.openxmlformats.org/officeDocument/2006/relationships/hyperlink" Target="https://hiberusspo365demo.sharepoint.com/sites/GN_GCinterna/servicionominasyestudioseconomicos/LicenciasMaternales" TargetMode="External"/><Relationship Id="rId51" Type="http://schemas.openxmlformats.org/officeDocument/2006/relationships/hyperlink" Target="https://gcinterna.admon-cfnavarra.es/Corporativa00/ServicioNominasyEstudiosEconomicos/Mutua" TargetMode="External"/><Relationship Id="rId52" Type="http://schemas.openxmlformats.org/officeDocument/2006/relationships/hyperlink" Target="https://hiberusspo365demo.sharepoint.com/sites/GN_GCinterna/servicionominasyestudioseconomicos/Mutua" TargetMode="External"/><Relationship Id="rId53" Type="http://schemas.openxmlformats.org/officeDocument/2006/relationships/hyperlink" Target="https://gcinterna.admon-cfnavarra.es/Corporativa00/ServicioNominasyEstudiosEconomicos/Pasivos" TargetMode="External"/><Relationship Id="rId54" Type="http://schemas.openxmlformats.org/officeDocument/2006/relationships/hyperlink" Target="https://hiberusspo365demo.sharepoint.com/sites/GN_GCinterna/servicionominasyestudioseconomicos/Pasivos" TargetMode="External"/><Relationship Id="rId55" Type="http://schemas.openxmlformats.org/officeDocument/2006/relationships/hyperlink" Target="https://gcinterna.admon-cfnavarra.es/Corporativa00/ServicioNominasyEstudiosEconomicos/Reconocimientos" TargetMode="External"/><Relationship Id="rId56" Type="http://schemas.openxmlformats.org/officeDocument/2006/relationships/hyperlink" Target="https://hiberusspo365demo.sharepoint.com/sites/GN_GCinterna/servicionominasyestudioseconomicos/Reconocimientos" TargetMode="External"/><Relationship Id="rId57" Type="http://schemas.openxmlformats.org/officeDocument/2006/relationships/hyperlink" Target="https://gcinterna.admon-cfnavarra.es/Corporativa00/ServicioNominasyEstudiosEconomicos/ReduccionesJornada" TargetMode="External"/><Relationship Id="rId58" Type="http://schemas.openxmlformats.org/officeDocument/2006/relationships/hyperlink" Target="https://hiberusspo365demo.sharepoint.com/sites/GN_GCinterna/servicionominasyestudioseconomicos/ReduccionesJornada" TargetMode="External"/><Relationship Id="rId59" Type="http://schemas.openxmlformats.org/officeDocument/2006/relationships/hyperlink" Target="https://gcinterna.admon-cfnavarra.es/Corporativa00/ServicioNominasyEstudiosEconomicos/RepartoEmpleo" TargetMode="External"/><Relationship Id="rId60" Type="http://schemas.openxmlformats.org/officeDocument/2006/relationships/hyperlink" Target="https://hiberusspo365demo.sharepoint.com/sites/GN_GCinterna/servicionominasyestudioseconomicos/RepartoEmpleo" TargetMode="External"/><Relationship Id="rId61" Type="http://schemas.openxmlformats.org/officeDocument/2006/relationships/hyperlink" Target="https://gcinterna.admon-cfnavarra.es/Corporativa00/ServicioNominasyEstudiosEconomicos/Regularizaciones" TargetMode="External"/><Relationship Id="rId62" Type="http://schemas.openxmlformats.org/officeDocument/2006/relationships/hyperlink" Target="https://hiberusspo365demo.sharepoint.com/sites/GN_GCinterna/servicionominasyestudioseconomicos/Regularizaciones" TargetMode="External"/><Relationship Id="rId63" Type="http://schemas.openxmlformats.org/officeDocument/2006/relationships/hyperlink" Target="https://gcinterna.admon-cfnavarra.es/Corporativa00/ServicioNominasyEstudiosEconomicos/SegurosSocialesConcertados" TargetMode="External"/><Relationship Id="rId64" Type="http://schemas.openxmlformats.org/officeDocument/2006/relationships/hyperlink" Target="https://hiberusspo365demo.sharepoint.com/sites/GN_GCinterna/servicionominasyestudioseconomicos/SegurosSocialesConcertados" TargetMode="External"/><Relationship Id="rId65" Type="http://schemas.openxmlformats.org/officeDocument/2006/relationships/hyperlink" Target="https://gcinterna.admon-cfnavarra.es/Corporativa00/ServicioNominasyEstudiosEconomicos/Sentencias" TargetMode="External"/><Relationship Id="rId66" Type="http://schemas.openxmlformats.org/officeDocument/2006/relationships/hyperlink" Target="https://hiberusspo365demo.sharepoint.com/sites/GN_GCinterna/servicionominasyestudioseconomicos/Sentencias" TargetMode="External"/><Relationship Id="rId67" Type="http://schemas.openxmlformats.org/officeDocument/2006/relationships/hyperlink" Target="https://gcinterna.admon-cfnavarra.es/Corporativa00/ServicioNominasyEstudiosEconomicos/Situaciones%20Administrativas" TargetMode="External"/><Relationship Id="rId68" Type="http://schemas.openxmlformats.org/officeDocument/2006/relationships/hyperlink" Target="https://hiberusspo365demo.sharepoint.com/sites/GN_GCinterna/servicionominasyestudioseconomicos/Situaciones%20Administrativas" TargetMode="External"/><Relationship Id="rId69" Type="http://schemas.openxmlformats.org/officeDocument/2006/relationships/hyperlink" Target="https://gcinterna.admon-cfnavarra.es/Corporativa00/ServicioNominasyEstudiosEconomicos/PermisosSinSueldos" TargetMode="External"/><Relationship Id="rId70" Type="http://schemas.openxmlformats.org/officeDocument/2006/relationships/hyperlink" Target="https://hiberusspo365demo.sharepoint.com/sites/GN_GCinterna/servicionominasyestudioseconomicos/PermisosSinSueldos" TargetMode="External"/><Relationship Id="rId71" Type="http://schemas.openxmlformats.org/officeDocument/2006/relationships/hyperlink" Target="https://gcinterna.admon-cfnavarra.es/Corporativa00/ServicioNominasyEstudiosEconomicos/Afiliacion" TargetMode="External"/><Relationship Id="rId72" Type="http://schemas.openxmlformats.org/officeDocument/2006/relationships/hyperlink" Target="https://hiberusspo365demo.sharepoint.com/sites/GN_GCinterna/servicionominasyestudioseconomicos/Afiliacion" TargetMode="External"/><Relationship Id="rId73" Type="http://schemas.openxmlformats.org/officeDocument/2006/relationships/hyperlink" Target="https://gcinterna.admon-cfnavarra.es/Corporativa00/ServicioNominasyEstudiosEconomicos/Cotizacion" TargetMode="External"/><Relationship Id="rId74" Type="http://schemas.openxmlformats.org/officeDocument/2006/relationships/hyperlink" Target="https://hiberusspo365demo.sharepoint.com/sites/GN_GCinterna/servicionominasyestudioseconomicos/Cotizacion" TargetMode="External"/><Relationship Id="rId75" Type="http://schemas.openxmlformats.org/officeDocument/2006/relationships/hyperlink" Target="https://gcinterna.admon-cfnavarra.es/Corporativa00/ServicioNominasyEstudiosEconomicos/SituacionesAdministrativas" TargetMode="External"/><Relationship Id="rId76" Type="http://schemas.openxmlformats.org/officeDocument/2006/relationships/hyperlink" Target="https://hiberusspo365demo.sharepoint.com/sites/GN_GCinterna/servicionominasyestudioseconomicos/SituacionesAdministrativas" TargetMode="External"/><Relationship Id="rId77" Type="http://schemas.openxmlformats.org/officeDocument/2006/relationships/hyperlink" Target="https://hiberusspo365demo.sharepoint.com/sites/GN_GCinterna/servicionominasyestudioseconomicos/Paginas/Cotizacion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incidencias de migración SharePoint</dc:title>
  <dc:subject>Problemas observados, causas probables y procedimientos paso a paso</dc:subject>
  <dc:creator>Análisis de informes de migración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