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left"/>
      </w:pPr>
      <w:r>
        <w:rPr>
          <w:b/>
          <w:color w:val="007C91"/>
          <w:sz w:val="22"/>
        </w:rPr>
        <w:t>INFORME DE MIGRACIÓN</w:t>
      </w:r>
    </w:p>
    <w:p>
      <w:pPr>
        <w:pStyle w:val="Title"/>
        <w:spacing w:before="160"/>
      </w:pPr>
      <w:r>
        <w:t>Sitios de GCInterna</w:t>
      </w:r>
    </w:p>
    <w:p>
      <w:r>
        <w:rPr>
          <w:color w:val="52697D"/>
          <w:sz w:val="34"/>
        </w:rPr>
        <w:t>Inventario, riesgos detectados y propuesta de mitigación</w:t>
      </w:r>
    </w:p>
    <w:p>
      <w:pPr>
        <w:pStyle w:val="Subtitle"/>
      </w:pPr>
      <w:r>
        <w:t>Preparado a partir del inventario de sitios y de los informes ScanReport disponibles.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6"/>
              </w:rPr>
              <w:t>Inventario</w:t>
            </w:r>
          </w:p>
        </w:tc>
        <w:tc>
          <w:tcPr>
            <w:tcW w:type="dxa" w:w="2088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6"/>
              </w:rPr>
              <w:t>Reportes de escaneo</w:t>
            </w:r>
          </w:p>
        </w:tc>
        <w:tc>
          <w:tcPr>
            <w:tcW w:type="dxa" w:w="2880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6"/>
              </w:rPr>
              <w:t>Hallazgos en hojas Risk</w:t>
            </w:r>
          </w:p>
        </w:tc>
        <w:tc>
          <w:tcPr>
            <w:tcW w:type="dxa" w:w="3096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6"/>
              </w:rPr>
              <w:t>Elementos pendientes</w:t>
            </w:r>
          </w:p>
        </w:tc>
      </w:tr>
      <w:tr>
        <w:tc>
          <w:tcPr>
            <w:tcW w:type="dxa" w:w="2088"/>
            <w:vAlign w:val="center"/>
            <w:shd w:fill="EAF2F6"/>
          </w:tcPr>
          <w:p>
            <w:pPr>
              <w:pStyle w:val="SmallTable"/>
            </w:pPr>
            <w:r/>
            <w:r>
              <w:rPr>
                <w:b w:val="0"/>
                <w:sz w:val="16"/>
              </w:rPr>
              <w:t>27 sitios</w:t>
            </w:r>
          </w:p>
        </w:tc>
        <w:tc>
          <w:tcPr>
            <w:tcW w:type="dxa" w:w="2088"/>
            <w:vAlign w:val="center"/>
            <w:shd w:fill="EAF2F6"/>
          </w:tcPr>
          <w:p>
            <w:pPr>
              <w:pStyle w:val="SmallTable"/>
            </w:pPr>
            <w:r/>
            <w:r>
              <w:rPr>
                <w:b w:val="0"/>
                <w:sz w:val="16"/>
              </w:rPr>
              <w:t>22 informes</w:t>
            </w:r>
          </w:p>
        </w:tc>
        <w:tc>
          <w:tcPr>
            <w:tcW w:type="dxa" w:w="2880"/>
            <w:vAlign w:val="center"/>
            <w:shd w:fill="EAF2F6"/>
          </w:tcPr>
          <w:p>
            <w:pPr>
              <w:pStyle w:val="SmallTable"/>
            </w:pPr>
            <w:r/>
            <w:r>
              <w:rPr>
                <w:b w:val="0"/>
                <w:sz w:val="16"/>
              </w:rPr>
              <w:t>1970 registros (1.226 alta / 744 media)</w:t>
            </w:r>
          </w:p>
        </w:tc>
        <w:tc>
          <w:tcPr>
            <w:tcW w:type="dxa" w:w="3096"/>
            <w:vAlign w:val="center"/>
            <w:shd w:fill="EAF2F6"/>
          </w:tcPr>
          <w:p>
            <w:pPr>
              <w:pStyle w:val="SmallTable"/>
            </w:pPr>
            <w:r/>
            <w:r>
              <w:rPr>
                <w:b w:val="0"/>
                <w:sz w:val="16"/>
              </w:rPr>
              <w:t>6 sitios sin reporte propio; 5 sin URL en el inventario</w:t>
            </w:r>
          </w:p>
        </w:tc>
      </w:tr>
    </w:tbl>
    <w:p>
      <w:pPr>
        <w:spacing w:before="500"/>
      </w:pPr>
      <w:r>
        <w:rPr>
          <w:b/>
          <w:color w:val="007C91"/>
        </w:rPr>
        <w:t>Objetivo</w:t>
      </w:r>
    </w:p>
    <w:p>
      <w:r>
        <w:t>Ofrecer una visión operativa de los sitios registrados, los problemas que pueden afectar su traslado y las acciones previas necesarias para reducir pérdidas de contenido, funcionalidad, permisos o trazabilidad.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inventario registra 27 sitios y rutas de migración desde SharePoint 2013 hacia SharePoint Online (SPO), SharePoint 2016 y/o SharePoint Subscription Edition (SE). Hay 22 libros de escaneo disponibles: 21 se asocian por nombre a sitios del inventario y uno corresponde a una raíz "PREGCInternaCorpo02" cuya relación exacta debe confirmarse. Seis sitios no tienen informe propio; cinco de esos seis tampoco tienen URL registrada.</w:t>
      </w:r>
    </w:p>
    <w:p>
      <w:r>
        <w:t>Los 22 informes contienen 1.970 registros en sus hojas InventoryReport_Risk: 1.226 marcados "Alta" y 744 "Media" por la herramienta. Las señales más repetidas son plantillas de listas no admitidas (1.220), errores de análisis de flujos de trabajo (241), archivos extraídos/check-out (213), audiencias de destino habilitadas (176) y páginas con posible bloqueo por scripts personalizados (83). La etiqueta del escáner es una alerta de compatibilidad, no una confirmación automática de pérdida ni un bloqueo real.</w:t>
      </w:r>
    </w:p>
    <w:p>
      <w:pPr>
        <w:pStyle w:val="Heading2"/>
      </w:pPr>
      <w:r>
        <w:t>Prioridad de preparación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3168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Sitio / ámbito</w:t>
            </w:r>
          </w:p>
        </w:tc>
        <w:tc>
          <w:tcPr>
            <w:tcW w:type="dxa" w:w="1872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Hallazgos</w:t>
            </w:r>
          </w:p>
        </w:tc>
        <w:tc>
          <w:tcPr>
            <w:tcW w:type="dxa" w:w="2088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Inventario escaneado</w:t>
            </w:r>
          </w:p>
        </w:tc>
        <w:tc>
          <w:tcPr>
            <w:tcW w:type="dxa" w:w="3024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Prioridad recomendada</w:t>
            </w:r>
          </w:p>
        </w:tc>
      </w:tr>
      <w:tr>
        <w:tc>
          <w:tcPr>
            <w:tcW w:type="dxa" w:w="316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Policía Foral</w:t>
            </w:r>
          </w:p>
        </w:tc>
        <w:tc>
          <w:tcPr>
            <w:tcW w:type="dxa" w:w="187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547 (A 336 / M 211)</w:t>
            </w:r>
          </w:p>
        </w:tc>
        <w:tc>
          <w:tcPr>
            <w:tcW w:type="dxa" w:w="208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66 webs / 885 listas</w:t>
            </w:r>
          </w:p>
        </w:tc>
        <w:tc>
          <w:tcPr>
            <w:tcW w:type="dxa" w:w="302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Nastat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452 (A 363 / M 89)</w:t>
            </w:r>
          </w:p>
        </w:tc>
        <w:tc>
          <w:tcPr>
            <w:tcW w:type="dxa" w:w="2088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86 webs / 1245 listas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  <w:tr>
        <w:tc>
          <w:tcPr>
            <w:tcW w:type="dxa" w:w="316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Servicio de Territorio y Paisaje</w:t>
            </w:r>
          </w:p>
        </w:tc>
        <w:tc>
          <w:tcPr>
            <w:tcW w:type="dxa" w:w="187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192 (A 28 / M 164)</w:t>
            </w:r>
          </w:p>
        </w:tc>
        <w:tc>
          <w:tcPr>
            <w:tcW w:type="dxa" w:w="208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6 webs / 55 listas</w:t>
            </w:r>
          </w:p>
        </w:tc>
        <w:tc>
          <w:tcPr>
            <w:tcW w:type="dxa" w:w="302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DG de Medio Ambiente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152 (A 122 / M 30)</w:t>
            </w:r>
          </w:p>
        </w:tc>
        <w:tc>
          <w:tcPr>
            <w:tcW w:type="dxa" w:w="2088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24 webs / 271 listas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  <w:tr>
        <w:tc>
          <w:tcPr>
            <w:tcW w:type="dxa" w:w="316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Inicio - Hasiera</w:t>
            </w:r>
          </w:p>
        </w:tc>
        <w:tc>
          <w:tcPr>
            <w:tcW w:type="dxa" w:w="187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110 (A 54 / M 56)</w:t>
            </w:r>
          </w:p>
        </w:tc>
        <w:tc>
          <w:tcPr>
            <w:tcW w:type="dxa" w:w="208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10 webs / 262 listas</w:t>
            </w:r>
          </w:p>
        </w:tc>
        <w:tc>
          <w:tcPr>
            <w:tcW w:type="dxa" w:w="302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Intervención y Contabilidad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100 (A 53 / M 47)</w:t>
            </w:r>
          </w:p>
        </w:tc>
        <w:tc>
          <w:tcPr>
            <w:tcW w:type="dxa" w:w="2088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9 webs / 169 listas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  <w:tr>
        <w:tc>
          <w:tcPr>
            <w:tcW w:type="dxa" w:w="316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Servicio de Planificación, Calidad e Inspección</w:t>
            </w:r>
          </w:p>
        </w:tc>
        <w:tc>
          <w:tcPr>
            <w:tcW w:type="dxa" w:w="187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93 (A 38 / M 55)</w:t>
            </w:r>
          </w:p>
        </w:tc>
        <w:tc>
          <w:tcPr>
            <w:tcW w:type="dxa" w:w="2088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7 webs / 100 listas</w:t>
            </w:r>
          </w:p>
        </w:tc>
        <w:tc>
          <w:tcPr>
            <w:tcW w:type="dxa" w:w="302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Piloto y validación detallada antes de migración masiva</w:t>
            </w:r>
          </w:p>
        </w:tc>
      </w:tr>
    </w:tbl>
    <w:p>
      <w:pPr>
        <w:pStyle w:val="Heading2"/>
      </w:pPr>
      <w:r>
        <w:t>Alcance y cautelas</w:t>
      </w:r>
    </w:p>
    <w:p>
      <w:pPr>
        <w:pStyle w:val="ListBullet"/>
        <w:spacing w:after="40"/>
      </w:pPr>
      <w:r>
        <w:t>Los conteos de hallazgos por sitio se calculan desde las filas de InventoryReport_Risk. No se suman las columnas jerárquicas de InventoryReport_Web, que pueden repetir los riesgos de subsitios y sobrecontar.</w:t>
      </w:r>
    </w:p>
    <w:p>
      <w:pPr>
        <w:pStyle w:val="ListBullet"/>
        <w:spacing w:after="40"/>
      </w:pPr>
      <w:r>
        <w:t>"Alta" y "Media" son las categorías de los informes fuente. Deben confirmarse contra el destino real, el tipo de objeto y su uso. En especial, las galerías y listas técnicas de SharePoint suelen generar alertas de plantilla no admitida aunque no deban migrarse como contenido de negocio.</w:t>
      </w:r>
    </w:p>
    <w:p>
      <w:pPr>
        <w:pStyle w:val="ListBullet"/>
        <w:spacing w:after="40"/>
      </w:pPr>
      <w:r>
        <w:t>La columna "Migración Final" está vacía para todos los registros del inventario. El destino final, el propietario de negocio y la fecha/resultado de migración siguen pendientes de confirmación.</w:t>
      </w:r>
    </w:p>
    <w:p>
      <w:pPr>
        <w:pStyle w:val="ListBullet"/>
        <w:spacing w:after="40"/>
      </w:pPr>
      <w:r>
        <w:t>Las recomendaciones para Power Automate aplican si el destino de esos flujos es SharePoint Online; para SE debe elegirse y validar el motor compatible con la arquitectura acordada.</w:t>
      </w:r>
    </w:p>
    <w:p>
      <w:pPr>
        <w:pStyle w:val="Heading1"/>
      </w:pPr>
      <w:r>
        <w:t>2. Inventario de sitios</w:t>
      </w:r>
    </w:p>
    <w:p>
      <w:r>
        <w:t>La columna de estado diferencia los sitios con un informe asociable de los pendientes de escaneo. Una URL vacía impide confirmar ubicación, alcance y herramienta de extracción.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440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3"/>
              </w:rPr>
              <w:t>Colección</w:t>
            </w:r>
          </w:p>
        </w:tc>
        <w:tc>
          <w:tcPr>
            <w:tcW w:type="dxa" w:w="2376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3"/>
              </w:rPr>
              <w:t>Sitio</w:t>
            </w:r>
          </w:p>
        </w:tc>
        <w:tc>
          <w:tcPr>
            <w:tcW w:type="dxa" w:w="1440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3"/>
              </w:rPr>
              <w:t>Ruta indicada</w:t>
            </w:r>
          </w:p>
        </w:tc>
        <w:tc>
          <w:tcPr>
            <w:tcW w:type="dxa" w:w="3240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3"/>
              </w:rPr>
              <w:t>URL del inventario</w:t>
            </w:r>
          </w:p>
        </w:tc>
        <w:tc>
          <w:tcPr>
            <w:tcW w:type="dxa" w:w="1656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3"/>
              </w:rPr>
              <w:t>Estado de evaluación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Corporativa00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Servicio de Nóminas y Estudios Económicos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https://gcinterna.admon-cfnavarra.es/Corporativa00/ServicioNominasyEstudiosEconomicos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Corporativa00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Servicio de Planificación, Calidad e Inspección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https://gcinterna.admon-cfnavarra.es/Corporativa00/spci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Corporativa00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Servicio de Recursos Económicos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https://gcinterna.admon-cfnavarra.es/Corporativa00/ServicioRecursosEconomicos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Corporativa02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Calendario de Eventos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https://gcinterna.admon-cfnavarra.es/Corporativa02/CoordinacionTurismo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Corporativa02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Comisión Mecenazgo Cultural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https://gcinterna.admon-cfnavarra.es/Corporativa02/Mecna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Corporativa02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DG Turismo, Comercio y Consumo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https://gcinterna.admon-cfnavarra.es/corporativa02/dgtcc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Corporativa02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Dirección General de Economía Social y Trabajo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https://gcinterna.admon-cfnavarra.es/corporativa02/docelecsindicalestrabajo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Corporativa02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Inicio - Hasiera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https://gcinterna.admon-cfnavarra.es/corporativa02/bibliotecas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Corporativa02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Secretaría General Técnica / Idazkaritza Tekniko Nagusia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https://gcinterna.admon-cfnavarra.es/Corporativa02/SGT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Coordinación PRTR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https://gcinterna.admon-cfnavarra.es/Corporativa03/PRTR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Intervención y Contabilidad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https://gcinterna.admon-cfnavarra.es/Corporativa03/IntervencionGeneral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Nastat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https://gcinterna.admon-cfnavarra.es/Corporativa03/nastat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Planificación Estratégica del Gobierno de Navarra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URL no informada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Pendiente: URL e informe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Presupuestos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URL no informada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Pendiente: URL e informe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Presupuestos - HTN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https://gcinterna.admon-cfnavarra.es/Corporativa03/presupuestos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Corporativa03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Tribunal Administrativo de Contratos Públicos de Navarra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SP2013-&gt;SP2016-&gt;SPO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https://gcinterna.admon-cfnavarra.es/Corporativa03/TribunalContratos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Corporativa04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Centro de recuperación de fauna salvaje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https://gcinterna.admon-cfnavarra.es/Corporativa04/Ilundain/Paginas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Corporativa04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DG de Medio Ambiente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https://gcinterna.admon-cfnavarra.es/Corporativa04/DGMedioAmbiente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Corporativa04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Servicio de Territorio y Paisaje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SP2013-&gt;SPO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https://gcinterna.admon-cfnavarra.es/Corporativa04/espacioSOTU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Departamento Interior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URL no informada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Pendiente: URL e informe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Bomberos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https://gcinterna.admon-cfnavarra.es/Interior/Bomberos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Pendiente de informe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Cuadro Mando DGI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URL no informada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Pendiente: URL e informe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ESEN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https://gcinterna.admon-cfnavarra.es/Interior/ESEN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GCInterna - interior - Grupos de trabajo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https://gcinterna.admon-cfnavarra.es/Interior/Grupos%20Trabajo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Policía Foral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https://gcinterna.admon-cfnavarra.es/Interior/PoliciaForal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Políticas Seguridad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URL no informada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Pendiente: URL e informe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Interior</w:t>
            </w:r>
          </w:p>
        </w:tc>
        <w:tc>
          <w:tcPr>
            <w:tcW w:type="dxa" w:w="237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Tráfico y Seguridad Vial</w:t>
            </w:r>
          </w:p>
        </w:tc>
        <w:tc>
          <w:tcPr>
            <w:tcW w:type="dxa" w:w="14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SP2013-&gt;SP2016-&gt;SE</w:t>
            </w:r>
          </w:p>
        </w:tc>
        <w:tc>
          <w:tcPr>
            <w:tcW w:type="dxa" w:w="3240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https://gcinterna.admon-cfnavarra.es/Interior/STRAF/TySV</w:t>
            </w:r>
          </w:p>
        </w:tc>
        <w:tc>
          <w:tcPr>
            <w:tcW w:type="dxa" w:w="1656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3"/>
              </w:rPr>
              <w:t>Informe disponible</w:t>
            </w:r>
          </w:p>
        </w:tc>
      </w:tr>
    </w:tbl>
    <w:p>
      <w:r>
        <w:t>Pendientes sin reporte propio: Planificación Estratégica del Gobierno de Navarra, Presupuestos, Bomberos, Departamento Interior, Cuadro Mando DGI y Políticas Seguridad. Bomberos tiene URL en el inventario; los otros cinco no. El informe ScanReport_98cdbb40.xlsx registra una raíz independiente en pregcinterna.admon-cfnavarra.es/Corporativa02; validar si forma parte del alcance productivo, es preproducción o duplica otro inventario.</w:t>
      </w:r>
    </w:p>
    <w:p>
      <w:pPr>
        <w:pStyle w:val="Heading1"/>
      </w:pPr>
      <w:r>
        <w:t>3. Riesgos observados y cómo resolverlos</w:t>
      </w:r>
    </w:p>
    <w:p>
      <w:r>
        <w:t>La tabla recoge el total de registros detectados en todos los informes. Las acciones propuestas son tareas previas o de diseño; no autorizan eliminar contenido ni cambiar permisos sin aprobación del propietario.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592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Señal y frecuencia</w:t>
            </w:r>
          </w:p>
        </w:tc>
        <w:tc>
          <w:tcPr>
            <w:tcW w:type="dxa" w:w="1584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Prioridad del escáner</w:t>
            </w:r>
          </w:p>
        </w:tc>
        <w:tc>
          <w:tcPr>
            <w:tcW w:type="dxa" w:w="5904"/>
            <w:vAlign w:val="center"/>
            <w:shd w:fill="15324B"/>
          </w:tcPr>
          <w:p>
            <w:pPr>
              <w:pStyle w:val="SmallTable"/>
            </w:pPr>
            <w:r/>
            <w:r>
              <w:rPr>
                <w:b/>
                <w:color w:val="FFFFFF"/>
                <w:sz w:val="14"/>
              </w:rPr>
              <w:t>Tratamiento recomendado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Plantilla de lista no admitida</w:t>
            </w:r>
          </w:p>
        </w:tc>
        <w:tc>
          <w:tcPr>
            <w:tcW w:type="dxa" w:w="158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1220 (Alta 1220; Media 0)</w:t>
            </w:r>
          </w:p>
        </w:tc>
        <w:tc>
          <w:tcPr>
            <w:tcW w:type="dxa" w:w="590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Revisar el objeto concreto. Separar catálogos/artefactos del sistema (normalmente no se migran) de listas de negocio; para estas últimas, recrear con plantilla compatible y migrar datos, vistas, columnas y permisos. No interpretar automáticamente cada señal como bloqueo.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Error al analizar flujos de trabajo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241 (Alta 0; Media 241)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Archivo extraído / bloqueado (checkout)</w:t>
            </w:r>
          </w:p>
        </w:tc>
        <w:tc>
          <w:tcPr>
            <w:tcW w:type="dxa" w:w="158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213 (Alta 0; Media 213)</w:t>
            </w:r>
          </w:p>
        </w:tc>
        <w:tc>
          <w:tcPr>
            <w:tcW w:type="dxa" w:w="590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Solicitar al propietario que publique o cancele el checkout, confirme la versión definitiva y vuelva a ejecutar el análisis/migración. No desbloquear sin validar el contenido.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Audiencia de destino habilitada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176 (Alta 0; Media 176)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Confirmar qué usuarios deben ver cada elemento. Reproducir la audiencia con grupos/permisos/reglas compatibles con el destino y validar visibilidad con cuentas de prueba; verificar que el contenido no se omita.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Página con personalización/script potencialmente bloqueado</w:t>
            </w:r>
          </w:p>
        </w:tc>
        <w:tc>
          <w:tcPr>
            <w:tcW w:type="dxa" w:w="158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83 (Alta 0; Media 83)</w:t>
            </w:r>
          </w:p>
        </w:tc>
        <w:tc>
          <w:tcPr>
            <w:tcW w:type="dxa" w:w="590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Inventariar scripts, web parts y dependencias en páginas. Sustituir personalizaciones clásicas por componentes compatibles/modernos; habilitar scripts solo si política y arquitectura del tenant lo permiten.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Vista de lista por encima del umbral de 5.000 elementos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20 (Alta 0; Media 20)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Crear índices en columnas de filtro, filtrar vistas y particionar archivos/listas si procede. Probar consultas típicas y mantener el umbral del destino.</w:t>
            </w:r>
          </w:p>
        </w:tc>
      </w:tr>
      <w:tr>
        <w:tc>
          <w:tcPr>
            <w:tcW w:type="dxa" w:w="259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Biblioteca muy grande para crear índice</w:t>
            </w:r>
          </w:p>
        </w:tc>
        <w:tc>
          <w:tcPr>
            <w:tcW w:type="dxa" w:w="158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9 (Alta 0; Media 9)</w:t>
            </w:r>
          </w:p>
        </w:tc>
        <w:tc>
          <w:tcPr>
            <w:tcW w:type="dxa" w:w="590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Planificar carga por lotes/incremental y revisar estrategia de índices, vistas y capacidad. Validar recuentos, metadatos, permisos y versiones en una prueba piloto antes de la carga completa.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No se pudo leer la lista durante el análisis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5 (Alta 5; Media 0)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Resolver permisos/conectividad/estado del objeto, comprobar acceso con la cuenta de escaneo y reejecutar. Mantenerlo como no evaluado hasta disponer de resultado; no considerarlo ausencia de riesgo.</w:t>
            </w:r>
          </w:p>
        </w:tc>
      </w:tr>
      <w:tr>
        <w:tc>
          <w:tcPr>
            <w:tcW w:type="dxa" w:w="259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Búsqueda dependiente de una lista del sitio padre</w:t>
            </w:r>
          </w:p>
        </w:tc>
        <w:tc>
          <w:tcPr>
            <w:tcW w:type="dxa" w:w="158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 (Alta 0; Media 1)</w:t>
            </w:r>
          </w:p>
        </w:tc>
        <w:tc>
          <w:tcPr>
            <w:tcW w:type="dxa" w:w="590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Migrar primero la lista referenciada del sitio padre; conservar nombres internos/columnas y reconstruir la búsqueda en destino. Probar integridad de las relaciones antes de habilitar usuarios.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Nombre de archivo o carpeta no válido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 (Alta 0; Media 1)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Renombrar de forma controlada para cumplir las restricciones del destino; guardar una tabla de correspondencia y actualizar vínculos, referencias y procesos que usen la ruta.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Vista supera el umbral de columnas de búsqueda/metadatos</w:t>
            </w:r>
          </w:p>
        </w:tc>
        <w:tc>
          <w:tcPr>
            <w:tcW w:type="dxa" w:w="158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1 (Alta 1; Media 0)</w:t>
            </w:r>
          </w:p>
        </w:tc>
        <w:tc>
          <w:tcPr>
            <w:tcW w:type="dxa" w:w="5904"/>
            <w:vAlign w:val="center"/>
          </w:tcPr>
          <w:p>
            <w:pPr>
              <w:pStyle w:val="SmallTable"/>
            </w:pPr>
            <w:r/>
            <w:r>
              <w:rPr>
                <w:b w:val="0"/>
                <w:sz w:val="14"/>
              </w:rPr>
              <w:t>Reducir columnas de búsqueda/metadatos mostradas, indexar y filtrar vistas, o rediseñar la vista. Validar que los usuarios aún puedan consultar los datos necesarios.</w:t>
            </w:r>
          </w:p>
        </w:tc>
      </w:tr>
    </w:tbl>
    <w:p>
      <w:pPr>
        <w:pStyle w:val="Heading1"/>
      </w:pPr>
      <w:r>
        <w:t>4. Evaluación por sitio con informe</w:t>
      </w:r>
    </w:p>
    <w:p>
      <w:r>
        <w:t>Las cifras de webs y listas son filas inventariadas en el libro correspondiente; los riesgos se cuentan desde InventoryReport_Risk. Para evitar sobrecargar cada ficha, las acciones remiten a la tabla de tratamientos de la sección anterior.</w:t>
      </w:r>
    </w:p>
    <w:p>
      <w:pPr>
        <w:pStyle w:val="Heading2"/>
      </w:pPr>
      <w:r>
        <w:t>Calendario de Eventos</w:t>
      </w:r>
    </w:p>
    <w:p>
      <w:pPr>
        <w:spacing w:after="40"/>
      </w:pPr>
      <w:r>
        <w:rPr>
          <w:color w:val="52697D"/>
          <w:sz w:val="15"/>
        </w:rPr>
        <w:t>GCInterna_Corporativa02  |  SP2013-&gt;SPO  |  https://gcinterna.admon-cfnavarra.es/Corporativa02/CoordinacionTurismo</w:t>
      </w:r>
    </w:p>
    <w:p>
      <w:pPr>
        <w:spacing w:after="40"/>
      </w:pPr>
      <w:r>
        <w:t>Escaneo: 2 webs, 22 listas/bibliotecas, 12 hallazgos (Alta 10; Media 2). Fuente: ScanReport_corporativa02-coordinacionTurismo-calendarioDeEventos.xlsx.</w:t>
      </w:r>
    </w:p>
    <w:p>
      <w:pPr>
        <w:pStyle w:val="ListBullet"/>
        <w:spacing w:after="40"/>
      </w:pPr>
      <w:r>
        <w:t>Plantilla no admitida: 10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Audiencia de destino habilitada: 2.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Centro de recuperación de fauna salvaje</w:t>
      </w:r>
    </w:p>
    <w:p>
      <w:pPr>
        <w:spacing w:after="40"/>
      </w:pPr>
      <w:r>
        <w:rPr>
          <w:color w:val="52697D"/>
          <w:sz w:val="15"/>
        </w:rPr>
        <w:t>GCInterna_Corporativa04  |  SP2013-&gt;SPO  |  https://gcinterna.admon-cfnavarra.es/Corporativa04/Ilundain/Paginas</w:t>
      </w:r>
    </w:p>
    <w:p>
      <w:pPr>
        <w:spacing w:after="40"/>
      </w:pPr>
      <w:r>
        <w:t>Escaneo: 1 webs, 25 listas/bibliotecas, 18 hallazgos (Alta 7; Media 11). Fuente: ScanReport_corporativa04-ilundain.xlsx.</w:t>
      </w:r>
    </w:p>
    <w:p>
      <w:pPr>
        <w:pStyle w:val="ListBullet"/>
        <w:spacing w:after="40"/>
      </w:pPr>
      <w:r>
        <w:t>Plantilla no admitida: 7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8.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Página con personalización/script potencialmente bloqueado: 1.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Comisión Mecenazgo Cultural</w:t>
      </w:r>
    </w:p>
    <w:p>
      <w:pPr>
        <w:spacing w:after="40"/>
      </w:pPr>
      <w:r>
        <w:rPr>
          <w:color w:val="52697D"/>
          <w:sz w:val="15"/>
        </w:rPr>
        <w:t>GCInterna_Corporativa02  |  SP2013-&gt;SPO  |  https://gcinterna.admon-cfnavarra.es/Corporativa02/Mecna</w:t>
      </w:r>
    </w:p>
    <w:p>
      <w:pPr>
        <w:spacing w:after="40"/>
      </w:pPr>
      <w:r>
        <w:t>Escaneo: 14 webs, 169 listas/bibliotecas, 65 hallazgos (Alta 58; Media 7). Fuente: ScanReport_corporativa02-mecna.xlsx.</w:t>
      </w:r>
    </w:p>
    <w:p>
      <w:pPr>
        <w:pStyle w:val="ListBullet"/>
        <w:spacing w:after="40"/>
      </w:pPr>
      <w:r>
        <w:t>Plantilla no admitida: 58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Archivo extraído / bloqueado (checkout): 1.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4.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Página con personalización/script potencialmente bloqueado: 2.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Coordinación PRTR</w:t>
      </w:r>
    </w:p>
    <w:p>
      <w:pPr>
        <w:spacing w:after="40"/>
      </w:pPr>
      <w:r>
        <w:rPr>
          <w:color w:val="52697D"/>
          <w:sz w:val="15"/>
        </w:rPr>
        <w:t>GCInterna_Corporativa03  |  SP2013-&gt;SPO  |  https://gcinterna.admon-cfnavarra.es/Corporativa03/PRTR</w:t>
      </w:r>
    </w:p>
    <w:p>
      <w:pPr>
        <w:spacing w:after="40"/>
      </w:pPr>
      <w:r>
        <w:t>Escaneo: 1 webs, 15 listas/bibliotecas, 6 hallazgos (Alta 5; Media 1). Fuente: ScanReport_corporativa03-prtr.xlsx.</w:t>
      </w:r>
    </w:p>
    <w:p>
      <w:pPr>
        <w:pStyle w:val="ListBullet"/>
        <w:spacing w:after="40"/>
      </w:pPr>
      <w:r>
        <w:t>Plantilla no admitida: 5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DG Turismo, Comercio y Consumo</w:t>
      </w:r>
    </w:p>
    <w:p>
      <w:pPr>
        <w:spacing w:after="40"/>
      </w:pPr>
      <w:r>
        <w:rPr>
          <w:color w:val="52697D"/>
          <w:sz w:val="15"/>
        </w:rPr>
        <w:t>GCInterna_Corporativa02  |  SP2013-&gt;SPO  |  https://gcinterna.admon-cfnavarra.es/corporativa02/dgtcc</w:t>
      </w:r>
    </w:p>
    <w:p>
      <w:pPr>
        <w:spacing w:after="40"/>
      </w:pPr>
      <w:r>
        <w:t>Escaneo: 1 webs, 26 listas/bibliotecas, 10 hallazgos (Alta 7; Media 3). Fuente: ScanReport_corporativa02-DGTCC.xlsx.</w:t>
      </w:r>
    </w:p>
    <w:p>
      <w:pPr>
        <w:pStyle w:val="ListBullet"/>
        <w:spacing w:after="40"/>
      </w:pPr>
      <w:r>
        <w:t>Plantilla no admitida: 7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2.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DG de Medio Ambiente</w:t>
      </w:r>
    </w:p>
    <w:p>
      <w:pPr>
        <w:spacing w:after="40"/>
      </w:pPr>
      <w:r>
        <w:rPr>
          <w:color w:val="52697D"/>
          <w:sz w:val="15"/>
        </w:rPr>
        <w:t>GCInterna_Corporativa04  |  SP2013-&gt;SP2016-&gt;SE  |  https://gcinterna.admon-cfnavarra.es/Corporativa04/DGMedioAmbiente</w:t>
      </w:r>
    </w:p>
    <w:p>
      <w:pPr>
        <w:spacing w:after="40"/>
      </w:pPr>
      <w:r>
        <w:t>Escaneo: 24 webs, 271 listas/bibliotecas, 152 hallazgos (Alta 122; Media 30). Fuente: ScanReport_corporativa04-dgmedioambiente.xlsx.</w:t>
      </w:r>
    </w:p>
    <w:p>
      <w:pPr>
        <w:pStyle w:val="ListBullet"/>
        <w:spacing w:after="40"/>
      </w:pPr>
      <w:r>
        <w:t>Plantilla no admitida: 122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2.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Archivo extraído / bloqueado (checkout): 1.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24.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Dirección General de Economía Social y Trabajo</w:t>
      </w:r>
    </w:p>
    <w:p>
      <w:pPr>
        <w:spacing w:after="40"/>
      </w:pPr>
      <w:r>
        <w:rPr>
          <w:color w:val="52697D"/>
          <w:sz w:val="15"/>
        </w:rPr>
        <w:t>GCInterna_Corporativa02  |  SP2013-&gt;SPO  |  https://gcinterna.admon-cfnavarra.es/corporativa02/docelecsindicalestrabajo</w:t>
      </w:r>
    </w:p>
    <w:p>
      <w:pPr>
        <w:spacing w:after="40"/>
      </w:pPr>
      <w:r>
        <w:t>Escaneo: 1 webs, 31 listas/bibliotecas, 10 hallazgos (Alta 7; Media 3). Fuente: ScanReport_corporativa02-docElecSindicalesTrabajo.xlsx.</w:t>
      </w:r>
    </w:p>
    <w:p>
      <w:pPr>
        <w:pStyle w:val="ListBullet"/>
        <w:spacing w:after="40"/>
      </w:pPr>
      <w:r>
        <w:t>Plantilla no admitida: 7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Archivo extraído / bloqueado (checkout): 2.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ESEN</w:t>
      </w:r>
    </w:p>
    <w:p>
      <w:pPr>
        <w:spacing w:after="40"/>
      </w:pPr>
      <w:r>
        <w:rPr>
          <w:color w:val="52697D"/>
          <w:sz w:val="15"/>
        </w:rPr>
        <w:t>GCInterna_Interior  |  SP2013-&gt;SP2016-&gt;SE  |  https://gcinterna.admon-cfnavarra.es/Interior/ESEN</w:t>
      </w:r>
    </w:p>
    <w:p>
      <w:pPr>
        <w:spacing w:after="40"/>
      </w:pPr>
      <w:r>
        <w:t>Escaneo: 1 webs, 8 listas/bibliotecas, 4 hallazgos (Alta 3; Media 1). Fuente: ScanReport_interior-esen.xlsx.</w:t>
      </w:r>
    </w:p>
    <w:p>
      <w:pPr>
        <w:pStyle w:val="ListBullet"/>
        <w:spacing w:after="40"/>
      </w:pPr>
      <w:r>
        <w:t>Plantilla no admitida: 3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Página con personalización/script potencialmente bloqueado: 1.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GCInterna - interior - Grupos de trabajo</w:t>
      </w:r>
    </w:p>
    <w:p>
      <w:pPr>
        <w:spacing w:after="40"/>
      </w:pPr>
      <w:r>
        <w:rPr>
          <w:color w:val="52697D"/>
          <w:sz w:val="15"/>
        </w:rPr>
        <w:t>GCInterna_Interior  |  SP2013-&gt;SP2016-&gt;SE  |  https://gcinterna.admon-cfnavarra.es/Interior/Grupos%20Trabajo</w:t>
      </w:r>
    </w:p>
    <w:p>
      <w:pPr>
        <w:spacing w:after="40"/>
      </w:pPr>
      <w:r>
        <w:t>Escaneo: 6 webs, 73 listas/bibliotecas, 41 hallazgos (Alta 31; Media 10). Fuente: ScanReport_interior-grupos trabajo.xlsx.</w:t>
      </w:r>
    </w:p>
    <w:p>
      <w:pPr>
        <w:pStyle w:val="ListBullet"/>
        <w:spacing w:after="40"/>
      </w:pPr>
      <w:r>
        <w:t>Plantilla no admitida: 31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4.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5.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Página con personalización/script potencialmente bloqueado: 1.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Inicio - Hasiera</w:t>
      </w:r>
    </w:p>
    <w:p>
      <w:pPr>
        <w:spacing w:after="40"/>
      </w:pPr>
      <w:r>
        <w:rPr>
          <w:color w:val="52697D"/>
          <w:sz w:val="15"/>
        </w:rPr>
        <w:t>GCInterna_Corporativa02  |  SP2013-&gt;SPO  |  https://gcinterna.admon-cfnavarra.es/corporativa02/bibliotecas</w:t>
      </w:r>
    </w:p>
    <w:p>
      <w:pPr>
        <w:spacing w:after="40"/>
      </w:pPr>
      <w:r>
        <w:t>Escaneo: 10 webs, 262 listas/bibliotecas, 110 hallazgos (Alta 54; Media 56). Fuente: ScanReport_corporativa02-Inicio-Hasiera.xlsx.</w:t>
      </w:r>
    </w:p>
    <w:p>
      <w:pPr>
        <w:pStyle w:val="ListBullet"/>
        <w:spacing w:after="40"/>
      </w:pPr>
      <w:r>
        <w:t>Plantilla no admitida: 52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42.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Archivo extraído / bloqueado (checkout): 1.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10.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Intervención y Contabilidad</w:t>
      </w:r>
    </w:p>
    <w:p>
      <w:pPr>
        <w:spacing w:after="40"/>
      </w:pPr>
      <w:r>
        <w:rPr>
          <w:color w:val="52697D"/>
          <w:sz w:val="15"/>
        </w:rPr>
        <w:t>GCInterna_Corporativa03  |  SP2013-&gt;SP2016-&gt;SE  |  https://gcinterna.admon-cfnavarra.es/Corporativa03/IntervencionGeneral</w:t>
      </w:r>
    </w:p>
    <w:p>
      <w:pPr>
        <w:spacing w:after="40"/>
      </w:pPr>
      <w:r>
        <w:t>Escaneo: 9 webs, 169 listas/bibliotecas, 100 hallazgos (Alta 53; Media 47). Fuente: ScanReport_Corporativa03-IntervencionGeneral.xlsx.</w:t>
      </w:r>
    </w:p>
    <w:p>
      <w:pPr>
        <w:pStyle w:val="ListBullet"/>
        <w:spacing w:after="40"/>
      </w:pPr>
      <w:r>
        <w:t>Plantilla no admitida: 52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32.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8.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Página con personalización/script potencialmente bloqueado: 4.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Nastat</w:t>
      </w:r>
    </w:p>
    <w:p>
      <w:pPr>
        <w:spacing w:after="40"/>
      </w:pPr>
      <w:r>
        <w:rPr>
          <w:color w:val="52697D"/>
          <w:sz w:val="15"/>
        </w:rPr>
        <w:t>GCInterna_Corporativa03  |  SP2013-&gt;SP2016-&gt;SE  |  https://gcinterna.admon-cfnavarra.es/Corporativa03/nastat</w:t>
      </w:r>
    </w:p>
    <w:p>
      <w:pPr>
        <w:spacing w:after="40"/>
      </w:pPr>
      <w:r>
        <w:t>Escaneo: 86 webs, 1245 listas/bibliotecas, 452 hallazgos (Alta 363; Media 89). Fuente: ScanReport_corporativa03-nastat.xlsx.</w:t>
      </w:r>
    </w:p>
    <w:p>
      <w:pPr>
        <w:pStyle w:val="ListBullet"/>
        <w:spacing w:after="40"/>
      </w:pPr>
      <w:r>
        <w:t>Plantilla no admitida: 360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24.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Archivo extraído / bloqueado (checkout): 13.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10.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Policía Foral</w:t>
      </w:r>
    </w:p>
    <w:p>
      <w:pPr>
        <w:spacing w:after="40"/>
      </w:pPr>
      <w:r>
        <w:rPr>
          <w:color w:val="52697D"/>
          <w:sz w:val="15"/>
        </w:rPr>
        <w:t>GCInterna_Interior  |  SP2013-&gt;SP2016-&gt;SE  |  https://gcinterna.admon-cfnavarra.es/Interior/PoliciaForal</w:t>
      </w:r>
    </w:p>
    <w:p>
      <w:pPr>
        <w:spacing w:after="40"/>
      </w:pPr>
      <w:r>
        <w:t>Escaneo: 66 webs, 885 listas/bibliotecas, 547 hallazgos (Alta 336; Media 211). Fuente: ScanReport_interior-policiaforal.xlsx.</w:t>
      </w:r>
    </w:p>
    <w:p>
      <w:pPr>
        <w:pStyle w:val="ListBullet"/>
        <w:spacing w:after="40"/>
      </w:pPr>
      <w:r>
        <w:t>Plantilla no admitida: 336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85.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Archivo extraído / bloqueado (checkout): 2.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89.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Presupuestos - HTN</w:t>
      </w:r>
    </w:p>
    <w:p>
      <w:pPr>
        <w:spacing w:after="40"/>
      </w:pPr>
      <w:r>
        <w:rPr>
          <w:color w:val="52697D"/>
          <w:sz w:val="15"/>
        </w:rPr>
        <w:t>GCInterna_Corporativa03  |  SP2013-&gt;SPO  |  https://gcinterna.admon-cfnavarra.es/Corporativa03/presupuestos</w:t>
      </w:r>
    </w:p>
    <w:p>
      <w:pPr>
        <w:spacing w:after="40"/>
      </w:pPr>
      <w:r>
        <w:t>Escaneo: 3 webs, 32 listas/bibliotecas, 26 hallazgos (Alta 19; Media 7). Fuente: ScanReport_corporativa03-htnpresupuestos.xlsx.</w:t>
      </w:r>
    </w:p>
    <w:p>
      <w:pPr>
        <w:pStyle w:val="ListBullet"/>
        <w:spacing w:after="40"/>
      </w:pPr>
      <w:r>
        <w:t>Plantilla no admitida: 19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1.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Página con personalización/script potencialmente bloqueado: 1.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Secretaría General Técnica / Idazkaritza Tekniko Nagusia</w:t>
      </w:r>
    </w:p>
    <w:p>
      <w:pPr>
        <w:spacing w:after="40"/>
      </w:pPr>
      <w:r>
        <w:rPr>
          <w:color w:val="52697D"/>
          <w:sz w:val="15"/>
        </w:rPr>
        <w:t>GCInterna_Corporativa02  |  SP2013-&gt;SPO  |  https://gcinterna.admon-cfnavarra.es/Corporativa02/SGT</w:t>
      </w:r>
    </w:p>
    <w:p>
      <w:pPr>
        <w:spacing w:after="40"/>
      </w:pPr>
      <w:r>
        <w:t>Escaneo: 2 webs, 40 listas/bibliotecas, 13 hallazgos (Alta 11; Media 2). Fuente: ScanReport_corporativa02-sgt.xlsx.</w:t>
      </w:r>
    </w:p>
    <w:p>
      <w:pPr>
        <w:pStyle w:val="ListBullet"/>
        <w:spacing w:after="40"/>
      </w:pPr>
      <w:r>
        <w:t>Plantilla no admitida: 11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Audiencia de destino habilitada: 2.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Servicio de Nóminas y Estudios Económicos</w:t>
      </w:r>
    </w:p>
    <w:p>
      <w:pPr>
        <w:spacing w:after="40"/>
      </w:pPr>
      <w:r>
        <w:rPr>
          <w:color w:val="52697D"/>
          <w:sz w:val="15"/>
        </w:rPr>
        <w:t>GCInterna_Corporativa00  |  SP2013-&gt;SPO  |  https://gcinterna.admon-cfnavarra.es/Corporativa00/ServicioNominasyEstudiosEconomicos</w:t>
      </w:r>
    </w:p>
    <w:p>
      <w:pPr>
        <w:spacing w:after="40"/>
      </w:pPr>
      <w:r>
        <w:t>Escaneo: 4 webs, 98 listas/bibliotecas, 52 hallazgos (Alta 20; Media 32). Fuente: ScanReport-corporativa00-servicionominasyestudioseconomicos.xlsx.</w:t>
      </w:r>
    </w:p>
    <w:p>
      <w:pPr>
        <w:pStyle w:val="ListBullet"/>
        <w:spacing w:after="40"/>
      </w:pPr>
      <w:r>
        <w:t>Plantilla no admitida: 20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24.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4.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Página con personalización/script potencialmente bloqueado: 1. Inventariar scripts, web parts y dependencias en páginas. Sustituir personalizaciones clásicas por componentes compatibles/modernos; habilitar scripts solo si política y arquitectura del tenant lo permiten.</w:t>
      </w:r>
    </w:p>
    <w:p>
      <w:pPr>
        <w:pStyle w:val="Heading2"/>
      </w:pPr>
      <w:r>
        <w:t>Servicio de Planificación, Calidad e Inspección</w:t>
      </w:r>
    </w:p>
    <w:p>
      <w:pPr>
        <w:spacing w:after="40"/>
      </w:pPr>
      <w:r>
        <w:rPr>
          <w:color w:val="52697D"/>
          <w:sz w:val="15"/>
        </w:rPr>
        <w:t>GCInterna_Corporativa00  |  SP2013-&gt;SPO  |  https://gcinterna.admon-cfnavarra.es/Corporativa00/spci</w:t>
      </w:r>
    </w:p>
    <w:p>
      <w:pPr>
        <w:spacing w:after="40"/>
      </w:pPr>
      <w:r>
        <w:t>Escaneo: 7 webs, 100 listas/bibliotecas, 93 hallazgos (Alta 38; Media 55). Fuente: ScanReport_corporativa00-spci.xlsx.</w:t>
      </w:r>
    </w:p>
    <w:p>
      <w:pPr>
        <w:pStyle w:val="ListBullet"/>
        <w:spacing w:after="40"/>
      </w:pPr>
      <w:r>
        <w:t>Plantilla no admitida: 38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9.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Archivo extraído / bloqueado (checkout): 38.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3.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Servicio de Recursos Económicos</w:t>
      </w:r>
    </w:p>
    <w:p>
      <w:pPr>
        <w:spacing w:after="40"/>
      </w:pPr>
      <w:r>
        <w:rPr>
          <w:color w:val="52697D"/>
          <w:sz w:val="15"/>
        </w:rPr>
        <w:t>GCInterna_Corporativa00  |  SP2013-&gt;SPO  |  https://gcinterna.admon-cfnavarra.es/Corporativa00/ServicioRecursosEconomicos</w:t>
      </w:r>
    </w:p>
    <w:p>
      <w:pPr>
        <w:spacing w:after="40"/>
      </w:pPr>
      <w:r>
        <w:t>Escaneo: 1 webs, 28 listas/bibliotecas, 12 hallazgos (Alta 6; Media 6). Fuente: ScanReport_corporativa00-servicioRecursosEconomicos.xlsx.</w:t>
      </w:r>
    </w:p>
    <w:p>
      <w:pPr>
        <w:pStyle w:val="ListBullet"/>
        <w:spacing w:after="40"/>
      </w:pPr>
      <w:r>
        <w:t>Plantilla no admitida: 6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5.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Vista de lista por encima del umbral de 5.000 elementos: 1. Crear índices en columnas de filtro, filtrar vistas y particionar archivos/listas si procede. Probar consultas típicas y mantener el umbral del destino.</w:t>
      </w:r>
    </w:p>
    <w:p>
      <w:pPr>
        <w:pStyle w:val="Heading2"/>
      </w:pPr>
      <w:r>
        <w:t>Servicio de Territorio y Paisaje</w:t>
      </w:r>
    </w:p>
    <w:p>
      <w:pPr>
        <w:spacing w:after="40"/>
      </w:pPr>
      <w:r>
        <w:rPr>
          <w:color w:val="52697D"/>
          <w:sz w:val="15"/>
        </w:rPr>
        <w:t>GCInterna_Corporativa04  |  SP2013-&gt;SPO  |  https://gcinterna.admon-cfnavarra.es/Corporativa04/espacioSOTU</w:t>
      </w:r>
    </w:p>
    <w:p>
      <w:pPr>
        <w:spacing w:after="40"/>
      </w:pPr>
      <w:r>
        <w:t>Escaneo: 6 webs, 55 listas/bibliotecas, 192 hallazgos (Alta 28; Media 164). Fuente: ScanReport_corporativa04-espaciosotu.xlsx.</w:t>
      </w:r>
    </w:p>
    <w:p>
      <w:pPr>
        <w:pStyle w:val="ListBullet"/>
        <w:spacing w:after="40"/>
      </w:pPr>
      <w:r>
        <w:t>Plantilla no admitida: 28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Archivo extraído / bloqueado (checkout): 155. Solicitar al propietario que publique o cancele el checkout, confirme la versión definitiva y vuelva a ejecutar el análisis/migración. No desbloquear sin validar el contenido.</w:t>
      </w:r>
    </w:p>
    <w:p>
      <w:pPr>
        <w:pStyle w:val="ListBullet"/>
        <w:spacing w:after="40"/>
      </w:pPr>
      <w:r>
        <w:t>Audiencia de destino habilitada: 6.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ListBullet"/>
        <w:spacing w:after="40"/>
      </w:pPr>
      <w:r>
        <w:t>Vista de lista por encima del umbral de 5.000 elementos: 2. Crear índices en columnas de filtro, filtrar vistas y particionar archivos/listas si procede. Probar consultas típicas y mantener el umbral del destino.</w:t>
      </w:r>
    </w:p>
    <w:p>
      <w:pPr>
        <w:pStyle w:val="Heading2"/>
      </w:pPr>
      <w:r>
        <w:t>Tráfico y Seguridad Vial</w:t>
      </w:r>
    </w:p>
    <w:p>
      <w:pPr>
        <w:spacing w:after="40"/>
      </w:pPr>
      <w:r>
        <w:rPr>
          <w:color w:val="52697D"/>
          <w:sz w:val="15"/>
        </w:rPr>
        <w:t>GCInterna_Interior  |  SP2013-&gt;SP2016-&gt;SE  |  https://gcinterna.admon-cfnavarra.es/Interior/STRAF/TySV</w:t>
      </w:r>
    </w:p>
    <w:p>
      <w:pPr>
        <w:spacing w:after="40"/>
      </w:pPr>
      <w:r>
        <w:t>Escaneo: 5 webs, 53 listas/bibliotecas, 28 hallazgos (Alta 26; Media 2). Fuente: ScanReport_interior-straf-tysv.xlsx.</w:t>
      </w:r>
    </w:p>
    <w:p>
      <w:pPr>
        <w:pStyle w:val="ListBullet"/>
        <w:spacing w:after="40"/>
      </w:pPr>
      <w:r>
        <w:t>Plantilla no admitida: 26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1.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Tribunal Administrativo de Contratos Públicos de Navarra</w:t>
      </w:r>
    </w:p>
    <w:p>
      <w:pPr>
        <w:spacing w:after="40"/>
      </w:pPr>
      <w:r>
        <w:rPr>
          <w:color w:val="52697D"/>
          <w:sz w:val="15"/>
        </w:rPr>
        <w:t>GCInterna_Corporativa03  |  SP2013-&gt;SP2016-&gt;SPO  |  https://gcinterna.admon-cfnavarra.es/Corporativa03/TribunalContratos</w:t>
      </w:r>
    </w:p>
    <w:p>
      <w:pPr>
        <w:spacing w:after="40"/>
      </w:pPr>
      <w:r>
        <w:t>Escaneo: 2 webs, 33 listas/bibliotecas, 13 hallazgos (Alta 10; Media 3). Fuente: ScanReport_corporativa03-tribunalcontratos.xlsx.</w:t>
      </w:r>
    </w:p>
    <w:p>
      <w:pPr>
        <w:pStyle w:val="ListBullet"/>
        <w:spacing w:after="40"/>
      </w:pPr>
      <w:r>
        <w:t>Plantilla no admitida: 10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Error al analizar flujos de trabajo: 2. Localizar propietario y definición del flujo; documentar disparadores, aprobaciones e integraciones. Reimplementar en una plataforma soportada (por ejemplo, Power Automate si el destino es SharePoint Online) y probar escenarios de éxito, rechazo, reintento y permisos.</w:t>
      </w:r>
    </w:p>
    <w:p>
      <w:pPr>
        <w:pStyle w:val="ListBullet"/>
        <w:spacing w:after="40"/>
      </w:pPr>
      <w:r>
        <w:t>Audiencia de destino habilitada: 1.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2"/>
      </w:pPr>
      <w:r>
        <w:t>ámbito adicional: raíz PREGCInterna Corporativa02 (asociación pendiente)</w:t>
      </w:r>
    </w:p>
    <w:p>
      <w:pPr>
        <w:spacing w:after="40"/>
      </w:pPr>
      <w:r>
        <w:rPr>
          <w:color w:val="52697D"/>
          <w:sz w:val="15"/>
        </w:rPr>
        <w:t>Colección declarada en el informe: Corporativa02  |  URL de origen: https://pregcinterna.admon-cfnavarra.es/Corporativa02  |  Confirmar vínculo con el ámbito productivo.</w:t>
      </w:r>
    </w:p>
    <w:p>
      <w:pPr>
        <w:spacing w:after="40"/>
      </w:pPr>
      <w:r>
        <w:t>Escaneo: 1 webs, 30 listas/bibliotecas, 14 hallazgos (Alta 12; Media 2). Fuente: ScanReport_98cdbb40.xlsx.</w:t>
      </w:r>
    </w:p>
    <w:p>
      <w:pPr>
        <w:pStyle w:val="ListBullet"/>
        <w:spacing w:after="40"/>
      </w:pPr>
      <w:r>
        <w:t>Plantilla no admitida: 12 (Alta). Clasificar galerías técnicas frente a listas de negocio; aplicar el tratamiento específico de la sección 3.</w:t>
      </w:r>
    </w:p>
    <w:p>
      <w:pPr>
        <w:pStyle w:val="ListBullet"/>
        <w:spacing w:after="40"/>
      </w:pPr>
      <w:r>
        <w:t>Audiencia de destino habilitada: 2. Confirmar qué usuarios deben ver cada elemento. Reproducir la audiencia con grupos/permisos/reglas compatibles con el destino y validar visibilidad con cuentas de prueba; verificar que el contenido no se omita.</w:t>
      </w:r>
    </w:p>
    <w:p>
      <w:pPr>
        <w:pStyle w:val="Heading1"/>
      </w:pPr>
      <w:r>
        <w:t>5. Sitios sin evaluación y plan de trabajo</w:t>
      </w:r>
    </w:p>
    <w:p>
      <w:pPr>
        <w:pStyle w:val="ListBullet"/>
        <w:spacing w:after="40"/>
      </w:pPr>
      <w:r>
        <w:t>Planificación Estratégica del Gobierno de Navarra (GCInterna_Corporativa03): URL no informada y sin ScanReport. Localizar propietario, URL y dependencias; incluir el sitio en el escaneo y confirmar la ruta de destino.</w:t>
      </w:r>
    </w:p>
    <w:p>
      <w:pPr>
        <w:pStyle w:val="ListBullet"/>
        <w:spacing w:after="40"/>
      </w:pPr>
      <w:r>
        <w:t>Presupuestos (GCInterna_Corporativa03): URL no informada y sin ScanReport. Localizar propietario, URL y dependencias; incluir el sitio en el escaneo y confirmar la ruta de destino.</w:t>
      </w:r>
    </w:p>
    <w:p>
      <w:pPr>
        <w:pStyle w:val="ListBullet"/>
        <w:spacing w:after="40"/>
      </w:pPr>
      <w:r>
        <w:t>Departamento Interior (GCInterna_Interior): URL no informada y sin ScanReport. Localizar propietario, URL y dependencias; incluir el sitio en el escaneo y confirmar la ruta de destino.</w:t>
      </w:r>
    </w:p>
    <w:p>
      <w:pPr>
        <w:pStyle w:val="ListBullet"/>
        <w:spacing w:after="40"/>
      </w:pPr>
      <w:r>
        <w:t>Cuadro Mando DGI (GCInterna_Interior): URL no informada y sin ScanReport. Localizar propietario, URL y dependencias; incluir el sitio en el escaneo y confirmar la ruta de destino.</w:t>
      </w:r>
    </w:p>
    <w:p>
      <w:pPr>
        <w:pStyle w:val="ListBullet"/>
        <w:spacing w:after="40"/>
      </w:pPr>
      <w:r>
        <w:t>Políticas Seguridad (GCInterna_Interior): URL no informada y sin ScanReport. Localizar propietario, URL y dependencias; incluir el sitio en el escaneo y confirmar la ruta de destino.</w:t>
      </w:r>
    </w:p>
    <w:p>
      <w:pPr>
        <w:pStyle w:val="ListBullet"/>
        <w:spacing w:after="40"/>
      </w:pPr>
      <w:r>
        <w:t>Bomberos: el inventario sí registra URL, pero no hay ScanReport propio. Ejecutar el escaneo y validar contenido, listas, flujos, personalizaciones y permisos.</w:t>
      </w:r>
    </w:p>
    <w:p>
      <w:pPr>
        <w:pStyle w:val="Heading2"/>
      </w:pPr>
      <w:r>
        <w:t>Secuencia recomendada</w:t>
      </w:r>
    </w:p>
    <w:p>
      <w:pPr>
        <w:pStyle w:val="ListBullet"/>
        <w:spacing w:after="40"/>
      </w:pPr>
      <w:r>
        <w:t>Completar responsables, URL, propósito, audiencia, retención y destino definitivo de los 27 sitios; resolver los seis sitios sin reporte.</w:t>
      </w:r>
    </w:p>
    <w:p>
      <w:pPr>
        <w:pStyle w:val="ListBullet"/>
        <w:spacing w:after="40"/>
      </w:pPr>
      <w:r>
        <w:t>Clasificar cada alerta de plantilla no admitida: lista/catálogo del sistema, lista de negocio, plantilla personalizada o artefacto obsoleto. Documentar decisión y propietario.</w:t>
      </w:r>
    </w:p>
    <w:p>
      <w:pPr>
        <w:pStyle w:val="ListBullet"/>
        <w:spacing w:after="40"/>
      </w:pPr>
      <w:r>
        <w:t>Resolver archivos extraídos y asegurar que los propietarios publiquen el contenido correcto antes del corte.</w:t>
      </w:r>
    </w:p>
    <w:p>
      <w:pPr>
        <w:pStyle w:val="ListBullet"/>
        <w:spacing w:after="40"/>
      </w:pPr>
      <w:r>
        <w:t>Levantar flujos con error, verificar la definición real y aprobar su sustitución/reconstrucción con pruebas de negocio.</w:t>
      </w:r>
    </w:p>
    <w:p>
      <w:pPr>
        <w:pStyle w:val="ListBullet"/>
        <w:spacing w:after="40"/>
      </w:pPr>
      <w:r>
        <w:t>Revisar audiencias, scripts, vistas, umbrales, dependencias de búsqueda, nombres inválidos y listas que el escáner no pudo leer.</w:t>
      </w:r>
    </w:p>
    <w:p>
      <w:pPr>
        <w:pStyle w:val="ListBullet"/>
        <w:spacing w:after="40"/>
      </w:pPr>
      <w:r>
        <w:t>Ejecutar piloto representativo por ruta de destino; comparar recuentos, versiones, metadatos, permisos, enlaces, formularios y procesos.</w:t>
      </w:r>
    </w:p>
    <w:p>
      <w:pPr>
        <w:pStyle w:val="ListBullet"/>
        <w:spacing w:after="40"/>
      </w:pPr>
      <w:r>
        <w:t>Definir ventana de congelación, carga inicial y delta, plan de reversa, comunicaciones y criterios de aceptación; dejar registrada la migración final en el inventario.</w:t>
      </w:r>
    </w:p>
    <w:p>
      <w:pPr>
        <w:pStyle w:val="Heading1"/>
      </w:pPr>
      <w:r>
        <w:t>6. Fuentes y criterio de conteo</w:t>
      </w:r>
    </w:p>
    <w:p>
      <w:r>
        <w:t>Fuentes: Inventario CGinterna.xlsx y los 22 archivos ScanReport*.xlsx presentes en la carpeta de trabajo. Cada ficha cita el nombre exacto del informe que la respalda. El archivo ScanReport_98cdbb40.xlsx se conserva como ámbito adicional, sin asociarlo a un sitio inventariado hasta confirmar su pertenencia.</w:t>
      </w:r>
    </w:p>
    <w:p>
      <w:r>
        <w:t>El total de riesgos (1.970) corresponde a filas no vacías de InventoryReport_Risk: 1.226 altas y 744 medias. Los conteos por código de la sección 3 suman esos registros. Las señales del informe pueden solaparse por objeto y no equivalen a 1.970 incidencias independientes; se recomienda deduplicar por URL/objeto/código antes de asignar trabajo.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487"/>
        <w:sz w:val="16"/>
      </w:rPr>
      <w:t xml:space="preserve">Documento de trabajo ? 19 de octubre de 2026  |  P?gina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7487"/>
        <w:sz w:val="16"/>
      </w:rPr>
      <w:t>GCInterna  |  Informe de preparaci?n para migraci?n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A34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25D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5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">
    <w:name w:val="Small Table"/>
    <w:pPr>
      <w:spacing w:after="20"/>
    </w:pPr>
    <w:rPr>
      <w:rFonts w:ascii="Calibri" w:hAnsi="Calibri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