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1B" w:rsidRPr="007859CC" w:rsidRDefault="005D7D1B" w:rsidP="007859CC">
      <w:pPr>
        <w:spacing w:after="120"/>
        <w:rPr>
          <w:rFonts w:ascii="Times New Roman" w:hAnsi="Times New Roman" w:cs="Times New Roman"/>
          <w:b/>
          <w:sz w:val="28"/>
          <w:szCs w:val="24"/>
        </w:rPr>
      </w:pPr>
      <w:r w:rsidRPr="007859CC">
        <w:rPr>
          <w:rFonts w:ascii="Times New Roman" w:hAnsi="Times New Roman" w:cs="Times New Roman"/>
          <w:b/>
          <w:sz w:val="28"/>
          <w:szCs w:val="24"/>
        </w:rPr>
        <w:t>Освещение</w:t>
      </w:r>
    </w:p>
    <w:p w:rsidR="005D7D1B" w:rsidRPr="007859CC" w:rsidRDefault="005D7D1B" w:rsidP="007859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859CC">
        <w:rPr>
          <w:rFonts w:ascii="Times New Roman" w:hAnsi="Times New Roman" w:cs="Times New Roman"/>
          <w:sz w:val="24"/>
          <w:szCs w:val="24"/>
        </w:rPr>
        <w:t>При выполнении работ категории высокой зрительной точности (наименьший размер объекта различения 0,3…0,5мм) величина коэффициента естественного освещения (КЕО) должна быть не ниже 1,5%, а при зрительной работе средней точности (наименьший размер объекта различения 0,5…1,0 мм) КЕО должен быть не ниже 1,0%. В качестве источников искусственного освещения обычно используются люминесцентные лампы типа ЛБ или ДРЛ, которые попарно объединяются в светильники, которые должны располагаться над рабочими поверхностями равномерно [23].</w:t>
      </w:r>
    </w:p>
    <w:p w:rsidR="005D7D1B" w:rsidRPr="007859CC" w:rsidRDefault="005D7D1B" w:rsidP="007859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859CC">
        <w:rPr>
          <w:rFonts w:ascii="Times New Roman" w:hAnsi="Times New Roman" w:cs="Times New Roman"/>
          <w:sz w:val="24"/>
          <w:szCs w:val="24"/>
        </w:rPr>
        <w:t>Требования к освещенности в помещениях, где установлены компьютеры, следующие: при выполнении зрительных работ высокой точности общая освещенность должна составлять 300лк, а комбинированная - 750лк; аналогичные требования при выполнении работ средней точности - 200 и 300лк соответственно.</w:t>
      </w:r>
    </w:p>
    <w:p w:rsidR="005D7D1B" w:rsidRPr="007859CC" w:rsidRDefault="005D7D1B" w:rsidP="007859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859CC">
        <w:rPr>
          <w:rFonts w:ascii="Times New Roman" w:hAnsi="Times New Roman" w:cs="Times New Roman"/>
          <w:sz w:val="24"/>
          <w:szCs w:val="24"/>
        </w:rPr>
        <w:t>Кроме того, все поле зрения должно быть освещено достаточно равномерно - это основное гигиеническое требование. Иными словами, степень освещения помещения и яркость экрана компьютера должны быть примерно одинаковыми, т.к. яркий свет в районе периферийного зрения значительно увеличивает напряженность глаз и, как следствие, приводит к их быстрой утомляемости.</w:t>
      </w:r>
    </w:p>
    <w:p w:rsidR="005D7D1B" w:rsidRPr="007859CC" w:rsidRDefault="005D7D1B" w:rsidP="007859CC">
      <w:pPr>
        <w:spacing w:after="120"/>
        <w:rPr>
          <w:rFonts w:ascii="Times New Roman" w:hAnsi="Times New Roman" w:cs="Times New Roman"/>
          <w:b/>
          <w:sz w:val="28"/>
          <w:szCs w:val="24"/>
        </w:rPr>
      </w:pPr>
      <w:r w:rsidRPr="007859CC">
        <w:rPr>
          <w:rFonts w:ascii="Times New Roman" w:hAnsi="Times New Roman" w:cs="Times New Roman"/>
          <w:b/>
          <w:sz w:val="28"/>
          <w:szCs w:val="24"/>
        </w:rPr>
        <w:t>Параметры микроклимата</w:t>
      </w:r>
    </w:p>
    <w:p w:rsidR="005D7D1B" w:rsidRPr="007859CC" w:rsidRDefault="005D7D1B" w:rsidP="007859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859CC">
        <w:rPr>
          <w:rFonts w:ascii="Times New Roman" w:hAnsi="Times New Roman" w:cs="Times New Roman"/>
          <w:sz w:val="24"/>
          <w:szCs w:val="24"/>
        </w:rPr>
        <w:t>В санитарных нормах СН-245-71 установлены величины параметров микроклимата, создающие комфортные условия. Эти нормы устанавливаются в зависимости от времени года, характера трудового процесса и характера производственного помещения (см. табл. 7.1) [22].</w:t>
      </w:r>
    </w:p>
    <w:p w:rsidR="005D7D1B" w:rsidRPr="007859CC" w:rsidRDefault="005D7D1B" w:rsidP="007859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859CC">
        <w:rPr>
          <w:rFonts w:ascii="Times New Roman" w:hAnsi="Times New Roman" w:cs="Times New Roman"/>
          <w:sz w:val="24"/>
          <w:szCs w:val="24"/>
        </w:rPr>
        <w:t>Объем помещений, в которых размещены работники вычислительных центров, не должен быть меньше 19,5м3/человека с учетом максимального числа одновременно работающих в смену.</w:t>
      </w:r>
    </w:p>
    <w:p w:rsidR="00CA4B92" w:rsidRPr="007859CC" w:rsidRDefault="00CA4B92" w:rsidP="007859CC">
      <w:pPr>
        <w:pStyle w:val="3"/>
        <w:shd w:val="clear" w:color="auto" w:fill="FFFFFF"/>
        <w:spacing w:before="0" w:beforeAutospacing="0" w:after="120" w:afterAutospacing="0"/>
        <w:rPr>
          <w:b w:val="0"/>
          <w:bCs w:val="0"/>
          <w:color w:val="183741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5427"/>
        <w:gridCol w:w="1676"/>
        <w:gridCol w:w="516"/>
      </w:tblGrid>
      <w:tr w:rsidR="005D7D1B" w:rsidRPr="005D7D1B" w:rsidTr="005D7D1B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Период года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 микроклимата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Величина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D7D1B" w:rsidRPr="005D7D1B" w:rsidTr="005D7D1B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Холодный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Температура воздуха в помещении Относительная влажность</w:t>
            </w:r>
          </w:p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Скорость движения воздуха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22…24°С</w:t>
            </w:r>
          </w:p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40…60%</w:t>
            </w:r>
          </w:p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0,1м/с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D7D1B" w:rsidRPr="005D7D1B" w:rsidTr="005D7D1B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Теплый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Температура воздуха в помещении Относительная влажность</w:t>
            </w:r>
          </w:p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Скорость движения воздуха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23…25°С</w:t>
            </w:r>
          </w:p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40…60%</w:t>
            </w:r>
          </w:p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0,1…0,2м/с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859CC" w:rsidRPr="007859CC" w:rsidRDefault="007859CC" w:rsidP="007859C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7D1B" w:rsidRPr="005D7D1B" w:rsidRDefault="005D7D1B" w:rsidP="007859C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7D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Нормы подачи свежего воздуха в помещения, где расположены компьютеры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5"/>
        <w:gridCol w:w="6044"/>
        <w:gridCol w:w="516"/>
      </w:tblGrid>
      <w:tr w:rsidR="005D7D1B" w:rsidRPr="005D7D1B" w:rsidTr="005D7D1B">
        <w:trPr>
          <w:gridAfter w:val="2"/>
        </w:trPr>
        <w:tc>
          <w:tcPr>
            <w:tcW w:w="0" w:type="auto"/>
            <w:shd w:val="clear" w:color="auto" w:fill="F2F2F2"/>
            <w:vAlign w:val="center"/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D7D1B" w:rsidRPr="005D7D1B" w:rsidTr="005D7D1B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Характеристика помещения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Объемный расход подаваемого в помещение свежего воздуха, м</w:t>
            </w: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/на одного человека в час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D7D1B" w:rsidRPr="005D7D1B" w:rsidTr="005D7D1B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Объем до 20м</w:t>
            </w: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 человека</w:t>
            </w:r>
          </w:p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20…40м</w:t>
            </w: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 человека</w:t>
            </w:r>
          </w:p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40м</w:t>
            </w: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 человека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менее 30</w:t>
            </w:r>
          </w:p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менее 20</w:t>
            </w:r>
          </w:p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Естественная вентиляция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859CC" w:rsidRPr="007859CC" w:rsidRDefault="007859CC" w:rsidP="007859CC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5D7D1B" w:rsidRPr="007859CC" w:rsidRDefault="005D7D1B" w:rsidP="007859CC">
      <w:pPr>
        <w:spacing w:after="120"/>
        <w:rPr>
          <w:rFonts w:ascii="Times New Roman" w:hAnsi="Times New Roman" w:cs="Times New Roman"/>
          <w:b/>
          <w:sz w:val="28"/>
          <w:szCs w:val="24"/>
        </w:rPr>
      </w:pPr>
      <w:r w:rsidRPr="007859CC">
        <w:rPr>
          <w:rFonts w:ascii="Times New Roman" w:hAnsi="Times New Roman" w:cs="Times New Roman"/>
          <w:b/>
          <w:sz w:val="28"/>
          <w:szCs w:val="24"/>
        </w:rPr>
        <w:t>Шум и вибрация</w:t>
      </w:r>
    </w:p>
    <w:p w:rsidR="005D7D1B" w:rsidRPr="005D7D1B" w:rsidRDefault="005D7D1B" w:rsidP="007859C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7D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Предельные уровни звука, дБ, на рабочих местах.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2"/>
        <w:gridCol w:w="1943"/>
        <w:gridCol w:w="1437"/>
        <w:gridCol w:w="1466"/>
        <w:gridCol w:w="1601"/>
        <w:gridCol w:w="516"/>
      </w:tblGrid>
      <w:tr w:rsidR="005D7D1B" w:rsidRPr="005D7D1B" w:rsidTr="005D7D1B">
        <w:trPr>
          <w:gridAfter w:val="5"/>
        </w:trPr>
        <w:tc>
          <w:tcPr>
            <w:tcW w:w="0" w:type="auto"/>
            <w:shd w:val="clear" w:color="auto" w:fill="F2F2F2"/>
            <w:vAlign w:val="center"/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D7D1B" w:rsidRPr="005D7D1B" w:rsidTr="005D7D1B">
        <w:trPr>
          <w:gridAfter w:val="3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</w:t>
            </w:r>
          </w:p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напряженности труда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 тяжести труда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D7D1B" w:rsidRPr="005D7D1B" w:rsidTr="005D7D1B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I. Легкая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II. Средняя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III. Тяжелая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IV. Очень тяжелая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D7D1B" w:rsidRPr="005D7D1B" w:rsidTr="005D7D1B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I. Мало напряженный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D7D1B" w:rsidRPr="005D7D1B" w:rsidTr="005D7D1B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II. Умеренно напряженный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D7D1B" w:rsidRPr="005D7D1B" w:rsidTr="005D7D1B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III. Напряженный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D7D1B" w:rsidRPr="005D7D1B" w:rsidTr="005D7D1B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IV. Очень напряженный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5D7D1B" w:rsidRPr="005D7D1B" w:rsidRDefault="005D7D1B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D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:rsidR="00CA4B92" w:rsidRPr="007859CC" w:rsidRDefault="00CA4B92" w:rsidP="007859CC">
      <w:p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24D2" w:rsidRPr="007859CC" w:rsidRDefault="005D7D1B" w:rsidP="007859CC">
      <w:p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859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Уровень шума на рабочем месте математиков-программистов и операторов видеоматериалов не должен превышать 50дБА, а в залах обработки информации на вычислительных машинах</w:t>
      </w:r>
      <w:r w:rsidRPr="007859C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- </w:t>
      </w:r>
      <w:r w:rsidRPr="007859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65дБА. Для снижения уровня шума стены и потолок помещений, где установлены компьютеры, могут быть облицованы звукопоглощающими материалами. Уровень вибрации в помещениях вычислительных центров может быть снижен путем установки оборудования на специальные </w:t>
      </w:r>
      <w:proofErr w:type="spellStart"/>
      <w:r w:rsidRPr="007859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виброизоляторы</w:t>
      </w:r>
      <w:proofErr w:type="spellEnd"/>
      <w:r w:rsidRPr="007859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A2A11" w:rsidRPr="007859CC" w:rsidRDefault="00CA2A11" w:rsidP="007859CC">
      <w:pPr>
        <w:spacing w:after="120"/>
        <w:rPr>
          <w:rFonts w:ascii="Times New Roman" w:hAnsi="Times New Roman" w:cs="Times New Roman"/>
          <w:b/>
          <w:sz w:val="28"/>
          <w:szCs w:val="24"/>
        </w:rPr>
      </w:pPr>
      <w:r w:rsidRPr="007859CC">
        <w:rPr>
          <w:rFonts w:ascii="Times New Roman" w:hAnsi="Times New Roman" w:cs="Times New Roman"/>
          <w:b/>
          <w:sz w:val="28"/>
          <w:szCs w:val="24"/>
        </w:rPr>
        <w:t>Электромагнитное и ионизирующее излучения</w:t>
      </w:r>
    </w:p>
    <w:p w:rsidR="007859CC" w:rsidRDefault="00CA2A11" w:rsidP="007859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859CC">
        <w:rPr>
          <w:rFonts w:ascii="Times New Roman" w:hAnsi="Times New Roman" w:cs="Times New Roman"/>
          <w:sz w:val="24"/>
          <w:szCs w:val="24"/>
        </w:rPr>
        <w:t>Максимальный уровень рентгеновского излучения на рабочем месте оператора компьютера обычно не превышает 10мкбэр/ч, а интенсивность ультрафиолетового и инфракрасного излучений от экрана монитора лежит в пределах 10…100мВт/м</w:t>
      </w:r>
      <w:r w:rsidRPr="007859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859CC">
        <w:rPr>
          <w:rFonts w:ascii="Times New Roman" w:hAnsi="Times New Roman" w:cs="Times New Roman"/>
          <w:sz w:val="24"/>
          <w:szCs w:val="24"/>
        </w:rPr>
        <w:t>.</w:t>
      </w:r>
    </w:p>
    <w:p w:rsidR="007859CC" w:rsidRPr="007859CC" w:rsidRDefault="007859CC" w:rsidP="007859CC">
      <w:pPr>
        <w:spacing w:after="1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8"/>
        <w:gridCol w:w="2573"/>
        <w:gridCol w:w="516"/>
      </w:tblGrid>
      <w:tr w:rsidR="00CA2A11" w:rsidRPr="00CA2A11" w:rsidTr="00CA2A11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A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параметра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A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Допустимые значения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A2A11" w:rsidRPr="00CA2A11" w:rsidTr="00CA2A11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A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Напряженность электрической составляющей электромагнитного</w:t>
            </w:r>
          </w:p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A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 на расстоянии 50см от поверхности видеомонитора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A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10В/м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A2A11" w:rsidRPr="00CA2A11" w:rsidTr="00CA2A11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A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Напряженность магнитной составляющей электромагнитного</w:t>
            </w:r>
          </w:p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A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 на расстоянии 50см от поверхности видеомонитора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A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0,3А/м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A2A11" w:rsidRPr="00CA2A11" w:rsidTr="00CA2A11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A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Напряженность электростатического поля не должна превышать:</w:t>
            </w:r>
          </w:p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A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взрослых пользователей</w:t>
            </w:r>
          </w:p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A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детей дошкольных учреждений и учащихся</w:t>
            </w:r>
          </w:p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A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средних специальных и высших учебных заведений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A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20кВ/м</w:t>
            </w:r>
          </w:p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A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15кВ/м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CA2A11" w:rsidRPr="00CA2A11" w:rsidRDefault="00CA2A11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A4B92" w:rsidRPr="007859CC" w:rsidRDefault="00CA4B92" w:rsidP="007859CC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CA2A11" w:rsidRPr="007859CC" w:rsidRDefault="00CA2A11" w:rsidP="007859CC">
      <w:pPr>
        <w:spacing w:after="120"/>
        <w:rPr>
          <w:rFonts w:ascii="Times New Roman" w:hAnsi="Times New Roman" w:cs="Times New Roman"/>
          <w:b/>
          <w:sz w:val="28"/>
          <w:szCs w:val="24"/>
        </w:rPr>
      </w:pPr>
      <w:r w:rsidRPr="007859CC">
        <w:rPr>
          <w:rFonts w:ascii="Times New Roman" w:hAnsi="Times New Roman" w:cs="Times New Roman"/>
          <w:b/>
          <w:sz w:val="28"/>
          <w:szCs w:val="24"/>
        </w:rPr>
        <w:t>Эргономические требования к рабочему месту</w:t>
      </w:r>
    </w:p>
    <w:p w:rsidR="00CA2A11" w:rsidRPr="007859CC" w:rsidRDefault="00CA2A11" w:rsidP="007859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859CC">
        <w:rPr>
          <w:rFonts w:ascii="Times New Roman" w:hAnsi="Times New Roman" w:cs="Times New Roman"/>
          <w:sz w:val="24"/>
          <w:szCs w:val="24"/>
        </w:rPr>
        <w:t>Главными элементами рабочего места программиста являются стол и кресло. Основным рабочим положением является положение сидя.</w:t>
      </w:r>
    </w:p>
    <w:p w:rsidR="00CA2A11" w:rsidRPr="007859CC" w:rsidRDefault="00CA2A11" w:rsidP="007859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859CC">
        <w:rPr>
          <w:rFonts w:ascii="Times New Roman" w:hAnsi="Times New Roman" w:cs="Times New Roman"/>
          <w:sz w:val="24"/>
          <w:szCs w:val="24"/>
        </w:rPr>
        <w:t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</w:t>
      </w:r>
    </w:p>
    <w:p w:rsidR="00CA2A11" w:rsidRPr="007859CC" w:rsidRDefault="00CA2A11" w:rsidP="007859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859CC">
        <w:rPr>
          <w:rFonts w:ascii="Times New Roman" w:hAnsi="Times New Roman" w:cs="Times New Roman"/>
          <w:sz w:val="24"/>
          <w:szCs w:val="24"/>
        </w:rPr>
        <w:t>Моторное поле - пространство рабочего места, в котором могут осуществляться двигательные действия человека.</w:t>
      </w:r>
    </w:p>
    <w:p w:rsidR="00CA2A11" w:rsidRPr="007859CC" w:rsidRDefault="00CA2A11" w:rsidP="007859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859CC">
        <w:rPr>
          <w:rFonts w:ascii="Times New Roman" w:hAnsi="Times New Roman" w:cs="Times New Roman"/>
          <w:sz w:val="24"/>
          <w:szCs w:val="24"/>
        </w:rPr>
        <w:t>Максимальная зона досягаемости рук - это часть моторного поля рабочего места, ограниченного дугами, описываемыми максимально вытянутыми руками при движении их в плечевом суставе.</w:t>
      </w:r>
    </w:p>
    <w:p w:rsidR="00CA2A11" w:rsidRPr="007859CC" w:rsidRDefault="00CA2A11" w:rsidP="007859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859CC">
        <w:rPr>
          <w:rFonts w:ascii="Times New Roman" w:hAnsi="Times New Roman" w:cs="Times New Roman"/>
          <w:sz w:val="24"/>
          <w:szCs w:val="24"/>
        </w:rPr>
        <w:t>Оптимальная зона - часть моторного поля рабочего места, ограниченного дугами, описываемыми предплечьями при движении в локтевых суставах с опорой в точке локтя и с относительно неподвижным плечом.</w:t>
      </w:r>
    </w:p>
    <w:p w:rsidR="00767B9C" w:rsidRPr="007859CC" w:rsidRDefault="00767B9C" w:rsidP="007859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859CC">
        <w:rPr>
          <w:rFonts w:ascii="Times New Roman" w:hAnsi="Times New Roman" w:cs="Times New Roman"/>
          <w:sz w:val="24"/>
          <w:szCs w:val="24"/>
        </w:rPr>
        <w:t>Для комфортной работы стол должен удовлетворять следующим условиям [26]: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высота стола должна быть выбрана с учетом возможности сидеть свободно, в удобной позе, при необходимости опираясь на подлокотники;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нижняя часть стола должна быть сконструирована так, чтобы программист мог удобно сидеть, не был вынужден поджимать ноги;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поверхность стола должна обладать свойствами, исключающими появление бликов в поле зрения программиста;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конструкция стола должна предусматривать наличие выдвижных ящиков (не менее 3 для хранения документации, листингов, канцелярских принадлежностей).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высота рабочей поверхности рекомендуется в пределах 680-760мм. Высота поверхности, на которую устанавливается клавиатура, должна быть около 650мм.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lastRenderedPageBreak/>
        <w:t>Большое значение придается характеристикам рабочего кресла. Так, рекомендуемая высота сиденья над уровнем пола находится в пределах 420-550мм. Поверхность сиденья мягкая, передний край закругленный, а угол наклона спинки - регулируемый.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 xml:space="preserve">Необходимо предусматривать при проектировании возможность различного размещения документов: сбоку от видеотерминала, между монитором и клавиатурой и т.п. Кроме того, в случаях, когда видеотерминал имеет низкое качество изображения, </w:t>
      </w:r>
      <w:proofErr w:type="gramStart"/>
      <w:r w:rsidRPr="007859CC">
        <w:rPr>
          <w:color w:val="000000"/>
          <w:shd w:val="clear" w:color="auto" w:fill="FFFFFF"/>
        </w:rPr>
        <w:t>например</w:t>
      </w:r>
      <w:proofErr w:type="gramEnd"/>
      <w:r w:rsidRPr="007859CC">
        <w:rPr>
          <w:color w:val="000000"/>
          <w:shd w:val="clear" w:color="auto" w:fill="FFFFFF"/>
        </w:rPr>
        <w:t xml:space="preserve"> заметны мелькания, расстояние от глаз до экрана делают больше (около 700мм), чем расстояние от глаза до документа (300-450мм). Вообще при высоком качестве изображения на видеотерминале расстояние от глаз пользователя до экрана, документа и клавиатуры может быть равным.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iCs/>
          <w:color w:val="000000"/>
          <w:shd w:val="clear" w:color="auto" w:fill="FFFFFF"/>
        </w:rPr>
        <w:t>Положение экрана определяется: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расстоянием считывания (0,6…0,7м);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углом считывания, направлением взгляда на 20 ниже горизонтали к центру экрана, причем экран перпендикулярен этому направлению.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Должна также предусматриваться возможность регулирования экрана: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по высоте +3 см;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по наклону от -10 до +20 относительно вертикали;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в левом и правом направлениях.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Большое значение также придается правильной рабочей позе пользователя. При неудобной рабочей позе могут появиться боли в мышцах, суставах и сухожилиях. Требования к рабочей позе пользователя видеотерминала следующие: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голова не должна быть наклонена более чем на 20,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плечи должны быть расслаблены,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локти - под углом 80…100,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предплечья и кисти рук - в горизонтальном положении.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Причина неправильной позы пользователей обусловлена следующими факторами: нет хорошей подставки для документов, клавиатура находится слишком высоко, а документы - низко, некуда положить руки и кисти, недостаточно пространство для ног.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В целях преодоления указанных недостатков даются общие рекомендации: лучше передвижная клавиатура; должны быть предусмотрены специальные приспособления для регулирования высоты стола, клавиатуры и экрана, а также подставка для рук [26].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Существенное значение для производительной и качественной работы на компьютере имеют размеры знаков, плотность их размещения, контраст и соотношение яркостей символов и фона экрана. Если расстояние от глаз оператора до экрана дисплея составляет 60…80 см, то высота знака должна быть не менее 3мм, оптимальное соотношение ширины и высоты знака составляет 3:4, а расстояние между знаками - 15…20% их высоты. Соотношение яркости фона экрана и символов - от 1:2 до 1:15 [22].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 xml:space="preserve">Во время пользования компьютером медики советуют устанавливать монитор на расстоянии 50-60 см от глаз. Специалисты также считают, что верхняя часть видеодисплея должна быть на уровне глаз или чуть ниже. Когда человек смотрит прямо перед собой, его глаза открываются шире, </w:t>
      </w:r>
      <w:proofErr w:type="gramStart"/>
      <w:r w:rsidRPr="007859CC">
        <w:rPr>
          <w:color w:val="000000"/>
          <w:shd w:val="clear" w:color="auto" w:fill="FFFFFF"/>
        </w:rPr>
        <w:t>чем</w:t>
      </w:r>
      <w:proofErr w:type="gramEnd"/>
      <w:r w:rsidRPr="007859CC">
        <w:rPr>
          <w:color w:val="000000"/>
          <w:shd w:val="clear" w:color="auto" w:fill="FFFFFF"/>
        </w:rPr>
        <w:t xml:space="preserve"> когда он смотрит вниз. За счет этого площадь обзора значительно увеличивается, вызывая обезвоживание глаз. К тому же если экран установлен высоко, а глаза широко открыты, нарушается функция моргания. Это значит, что глаза не закрываются полностью, не омываются слезной жидкостью, не получают достаточного увлажнения, что приводит к их быстрой утомляемости.</w:t>
      </w:r>
    </w:p>
    <w:p w:rsidR="00767B9C" w:rsidRPr="007859CC" w:rsidRDefault="00767B9C" w:rsidP="007859CC">
      <w:pPr>
        <w:spacing w:after="120"/>
        <w:rPr>
          <w:rFonts w:ascii="Times New Roman" w:hAnsi="Times New Roman" w:cs="Times New Roman"/>
          <w:b/>
          <w:sz w:val="28"/>
          <w:szCs w:val="24"/>
        </w:rPr>
      </w:pPr>
      <w:r w:rsidRPr="007859CC">
        <w:rPr>
          <w:rFonts w:ascii="Times New Roman" w:hAnsi="Times New Roman" w:cs="Times New Roman"/>
          <w:b/>
          <w:sz w:val="28"/>
          <w:szCs w:val="24"/>
        </w:rPr>
        <w:lastRenderedPageBreak/>
        <w:t>Режим труда</w:t>
      </w:r>
    </w:p>
    <w:p w:rsidR="00767B9C" w:rsidRPr="007859CC" w:rsidRDefault="00767B9C" w:rsidP="007859CC">
      <w:pPr>
        <w:spacing w:after="1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7859CC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7859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соответствии с СанПиН</w:t>
      </w:r>
      <w:proofErr w:type="gramEnd"/>
      <w:r w:rsidRPr="007859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2.2.2 542-96 «Гигиенические требования к </w:t>
      </w:r>
      <w:proofErr w:type="spellStart"/>
      <w:r w:rsidRPr="007859CC">
        <w:rPr>
          <w:rFonts w:ascii="Times New Roman" w:hAnsi="Times New Roman" w:cs="Times New Roman"/>
          <w:sz w:val="24"/>
          <w:szCs w:val="24"/>
          <w:shd w:val="clear" w:color="auto" w:fill="FFFFFF"/>
        </w:rPr>
        <w:t>видеодисплейным</w:t>
      </w:r>
      <w:proofErr w:type="spellEnd"/>
      <w:r w:rsidRPr="007859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терминалам, персональным электронно-вычислительны</w:t>
      </w:r>
      <w:r w:rsidRPr="007859CC">
        <w:rPr>
          <w:rFonts w:ascii="Times New Roman" w:hAnsi="Times New Roman" w:cs="Times New Roman"/>
          <w:sz w:val="24"/>
          <w:szCs w:val="24"/>
          <w:shd w:val="clear" w:color="auto" w:fill="FFFFFF"/>
        </w:rPr>
        <w:t>м машинам и организации работ»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Время регламентированных перерывов при работе на компьютере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1500"/>
        <w:gridCol w:w="2366"/>
        <w:gridCol w:w="1145"/>
        <w:gridCol w:w="1208"/>
        <w:gridCol w:w="1208"/>
        <w:gridCol w:w="515"/>
      </w:tblGrid>
      <w:tr w:rsidR="00767B9C" w:rsidRPr="007859CC" w:rsidTr="00767B9C">
        <w:trPr>
          <w:gridAfter w:val="6"/>
        </w:trPr>
        <w:tc>
          <w:tcPr>
            <w:tcW w:w="0" w:type="auto"/>
            <w:shd w:val="clear" w:color="auto" w:fill="F2F2F2"/>
            <w:vAlign w:val="center"/>
            <w:hideMark/>
          </w:tcPr>
          <w:p w:rsidR="00767B9C" w:rsidRPr="007859CC" w:rsidRDefault="00767B9C" w:rsidP="007859CC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67B9C" w:rsidRPr="007859CC" w:rsidTr="00767B9C">
        <w:trPr>
          <w:gridAfter w:val="3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Категория работы</w:t>
            </w:r>
          </w:p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с ВДТ или ПЭВМ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Уровень нагрузки за рабочую смену при видах работы с ВДТ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Суммарное время регламентированных перерывов, мин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7B9C" w:rsidRPr="007859CC" w:rsidTr="00767B9C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Группа А, количество знаков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Группа Б, количество знаков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Группа В, часов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При 8-часовой смене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При 12-часовой смене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7B9C" w:rsidRPr="007859CC" w:rsidTr="00767B9C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I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до 20000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до 15000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до 2,0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30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70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7B9C" w:rsidRPr="007859CC" w:rsidTr="00767B9C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II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до 40000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до 30000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до 4,0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50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90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7B9C" w:rsidRPr="007859CC" w:rsidTr="00767B9C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III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до 60000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до 40000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до 6,0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70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859CC" w:rsidRDefault="00767B9C" w:rsidP="007859CC">
            <w:pPr>
              <w:pStyle w:val="a3"/>
              <w:spacing w:before="0" w:beforeAutospacing="0" w:after="120" w:afterAutospacing="0"/>
              <w:rPr>
                <w:color w:val="000000"/>
              </w:rPr>
            </w:pPr>
            <w:r w:rsidRPr="007859CC">
              <w:rPr>
                <w:color w:val="000000"/>
              </w:rPr>
              <w:t>120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767B9C" w:rsidRPr="007859CC" w:rsidRDefault="00767B9C" w:rsidP="007859C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4B92" w:rsidRPr="007859CC" w:rsidRDefault="00CA4B92" w:rsidP="007859CC"/>
    <w:p w:rsidR="00767B9C" w:rsidRPr="007859CC" w:rsidRDefault="00767B9C" w:rsidP="007859CC">
      <w:pPr>
        <w:spacing w:after="120"/>
        <w:rPr>
          <w:rFonts w:ascii="Times New Roman" w:hAnsi="Times New Roman" w:cs="Times New Roman"/>
          <w:b/>
          <w:sz w:val="28"/>
          <w:szCs w:val="24"/>
        </w:rPr>
      </w:pPr>
      <w:r w:rsidRPr="007859CC">
        <w:rPr>
          <w:rFonts w:ascii="Times New Roman" w:hAnsi="Times New Roman" w:cs="Times New Roman"/>
          <w:b/>
          <w:sz w:val="28"/>
          <w:szCs w:val="24"/>
        </w:rPr>
        <w:t>Расчет освещенности</w:t>
      </w:r>
    </w:p>
    <w:p w:rsidR="00767B9C" w:rsidRPr="007859CC" w:rsidRDefault="00767B9C" w:rsidP="007859CC">
      <w:pPr>
        <w:spacing w:after="1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59CC">
        <w:rPr>
          <w:rFonts w:ascii="Times New Roman" w:hAnsi="Times New Roman" w:cs="Times New Roman"/>
          <w:sz w:val="24"/>
          <w:szCs w:val="24"/>
          <w:shd w:val="clear" w:color="auto" w:fill="FFFFFF"/>
        </w:rPr>
        <w:t>Для определения количества светильников определим световой поток, падающий на поверхность по формуле:</w:t>
      </w:r>
    </w:p>
    <w:p w:rsidR="00767B9C" w:rsidRPr="007859CC" w:rsidRDefault="007859C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noProof/>
        </w:rPr>
        <w:drawing>
          <wp:inline distT="0" distB="0" distL="0" distR="0">
            <wp:extent cx="1143000" cy="458375"/>
            <wp:effectExtent l="0" t="0" r="0" b="0"/>
            <wp:docPr id="1" name="Рисунок 1" descr="4 Методы расчета искусственного освещ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Методы расчета искусственного освещени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492" cy="46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B9C" w:rsidRPr="007859CC">
        <w:rPr>
          <w:color w:val="000000"/>
          <w:shd w:val="clear" w:color="auto" w:fill="FFFFFF"/>
        </w:rPr>
        <w:t>, где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b/>
          <w:bCs/>
          <w:iCs/>
          <w:color w:val="000000"/>
          <w:shd w:val="clear" w:color="auto" w:fill="FFFFFF"/>
        </w:rPr>
        <w:t>F</w:t>
      </w:r>
      <w:r w:rsidRPr="007859CC">
        <w:rPr>
          <w:color w:val="000000"/>
          <w:shd w:val="clear" w:color="auto" w:fill="FFFFFF"/>
        </w:rPr>
        <w:t> - рассчитываемый световой поток, Лм;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b/>
          <w:bCs/>
          <w:iCs/>
          <w:color w:val="000000"/>
          <w:shd w:val="clear" w:color="auto" w:fill="FFFFFF"/>
        </w:rPr>
        <w:t>Е</w:t>
      </w:r>
      <w:r w:rsidRPr="007859CC">
        <w:rPr>
          <w:color w:val="000000"/>
          <w:shd w:val="clear" w:color="auto" w:fill="FFFFFF"/>
        </w:rPr>
        <w:t xml:space="preserve"> - нормированная минимальная освещенность, </w:t>
      </w:r>
      <w:proofErr w:type="spellStart"/>
      <w:r w:rsidRPr="007859CC">
        <w:rPr>
          <w:color w:val="000000"/>
          <w:shd w:val="clear" w:color="auto" w:fill="FFFFFF"/>
        </w:rPr>
        <w:t>Лк</w:t>
      </w:r>
      <w:proofErr w:type="spellEnd"/>
      <w:r w:rsidRPr="007859CC">
        <w:rPr>
          <w:color w:val="000000"/>
          <w:shd w:val="clear" w:color="auto" w:fill="FFFFFF"/>
        </w:rPr>
        <w:t xml:space="preserve"> (определяется по таблице). Работу программиста, в соответствии с этой таблицей, можно отнести к разряду точных работ, следовательно, минимальная освещенность будет </w:t>
      </w:r>
      <w:r w:rsidRPr="007859CC">
        <w:rPr>
          <w:b/>
          <w:bCs/>
          <w:color w:val="000000"/>
          <w:shd w:val="clear" w:color="auto" w:fill="FFFFFF"/>
        </w:rPr>
        <w:t>Е </w:t>
      </w:r>
      <w:r w:rsidRPr="007859CC">
        <w:rPr>
          <w:color w:val="000000"/>
          <w:shd w:val="clear" w:color="auto" w:fill="FFFFFF"/>
        </w:rPr>
        <w:t>= 300Лк;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b/>
          <w:bCs/>
          <w:iCs/>
          <w:color w:val="000000"/>
          <w:shd w:val="clear" w:color="auto" w:fill="FFFFFF"/>
        </w:rPr>
        <w:t>S</w:t>
      </w:r>
      <w:r w:rsidRPr="007859CC">
        <w:rPr>
          <w:color w:val="000000"/>
          <w:shd w:val="clear" w:color="auto" w:fill="FFFFFF"/>
        </w:rPr>
        <w:t> - площадь освещаемого помещения (в нашем случае </w:t>
      </w:r>
      <w:r w:rsidRPr="007859CC">
        <w:rPr>
          <w:b/>
          <w:bCs/>
          <w:color w:val="000000"/>
          <w:shd w:val="clear" w:color="auto" w:fill="FFFFFF"/>
        </w:rPr>
        <w:t>S </w:t>
      </w:r>
      <w:r w:rsidRPr="007859CC">
        <w:rPr>
          <w:color w:val="000000"/>
          <w:shd w:val="clear" w:color="auto" w:fill="FFFFFF"/>
        </w:rPr>
        <w:t>= 15м</w:t>
      </w:r>
      <w:r w:rsidRPr="007859CC">
        <w:rPr>
          <w:color w:val="000000"/>
          <w:shd w:val="clear" w:color="auto" w:fill="FFFFFF"/>
          <w:vertAlign w:val="superscript"/>
        </w:rPr>
        <w:t>2</w:t>
      </w:r>
      <w:r w:rsidRPr="007859CC">
        <w:rPr>
          <w:color w:val="000000"/>
          <w:shd w:val="clear" w:color="auto" w:fill="FFFFFF"/>
        </w:rPr>
        <w:t>);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b/>
          <w:bCs/>
          <w:iCs/>
          <w:color w:val="000000"/>
          <w:shd w:val="clear" w:color="auto" w:fill="FFFFFF"/>
        </w:rPr>
        <w:t>Z</w:t>
      </w:r>
      <w:r w:rsidRPr="007859CC">
        <w:rPr>
          <w:color w:val="000000"/>
          <w:shd w:val="clear" w:color="auto" w:fill="FFFFFF"/>
        </w:rPr>
        <w:t> - отношение средней освещенности к минимальной (обычно принимается равным 1,1…1,</w:t>
      </w:r>
      <w:proofErr w:type="gramStart"/>
      <w:r w:rsidRPr="007859CC">
        <w:rPr>
          <w:color w:val="000000"/>
          <w:shd w:val="clear" w:color="auto" w:fill="FFFFFF"/>
        </w:rPr>
        <w:t>2 ,</w:t>
      </w:r>
      <w:proofErr w:type="gramEnd"/>
      <w:r w:rsidRPr="007859CC">
        <w:rPr>
          <w:color w:val="000000"/>
          <w:shd w:val="clear" w:color="auto" w:fill="FFFFFF"/>
        </w:rPr>
        <w:t xml:space="preserve"> пусть </w:t>
      </w:r>
      <w:r w:rsidRPr="007859CC">
        <w:rPr>
          <w:b/>
          <w:bCs/>
          <w:color w:val="000000"/>
          <w:shd w:val="clear" w:color="auto" w:fill="FFFFFF"/>
        </w:rPr>
        <w:t>Z </w:t>
      </w:r>
      <w:r w:rsidRPr="007859CC">
        <w:rPr>
          <w:color w:val="000000"/>
          <w:shd w:val="clear" w:color="auto" w:fill="FFFFFF"/>
        </w:rPr>
        <w:t>= 1,1);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b/>
          <w:bCs/>
          <w:iCs/>
          <w:color w:val="000000"/>
          <w:shd w:val="clear" w:color="auto" w:fill="FFFFFF"/>
        </w:rPr>
        <w:t>К</w:t>
      </w:r>
      <w:r w:rsidRPr="007859CC">
        <w:rPr>
          <w:color w:val="000000"/>
          <w:shd w:val="clear" w:color="auto" w:fill="FFFFFF"/>
        </w:rPr>
        <w:t> - коэффициент запаса, учитывающий уменьшение светового потока лампы в результате загрязнения светильников в процессе эксплуатации (его значение зависит от типа помещения и характера проводимых в нем работ и в нашем случае </w:t>
      </w:r>
      <w:proofErr w:type="gramStart"/>
      <w:r w:rsidRPr="007859CC">
        <w:rPr>
          <w:b/>
          <w:bCs/>
          <w:iCs/>
          <w:color w:val="000000"/>
          <w:shd w:val="clear" w:color="auto" w:fill="FFFFFF"/>
        </w:rPr>
        <w:t>К</w:t>
      </w:r>
      <w:proofErr w:type="gramEnd"/>
      <w:r w:rsidRPr="007859CC">
        <w:rPr>
          <w:b/>
          <w:bCs/>
          <w:color w:val="000000"/>
          <w:shd w:val="clear" w:color="auto" w:fill="FFFFFF"/>
        </w:rPr>
        <w:t> </w:t>
      </w:r>
      <w:r w:rsidRPr="007859CC">
        <w:rPr>
          <w:color w:val="000000"/>
          <w:shd w:val="clear" w:color="auto" w:fill="FFFFFF"/>
        </w:rPr>
        <w:t>= 1,5);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b/>
          <w:bCs/>
          <w:iCs/>
          <w:color w:val="000000"/>
          <w:shd w:val="clear" w:color="auto" w:fill="FFFFFF"/>
        </w:rPr>
        <w:lastRenderedPageBreak/>
        <w:t>n</w:t>
      </w:r>
      <w:r w:rsidRPr="007859CC">
        <w:rPr>
          <w:color w:val="000000"/>
          <w:shd w:val="clear" w:color="auto" w:fill="FFFFFF"/>
        </w:rPr>
        <w:t> - коэффициент использования, (выражается отношением светового потока, падающего на расчетную поверхность, к суммарному потоку всех ламп и исчисляется в долях единицы; зависит от характеристик светильника, размеров помещения, окраски стен и потолка, характеризуемых коэффициентами отражения от стен (Р</w:t>
      </w:r>
      <w:r w:rsidRPr="007859CC">
        <w:rPr>
          <w:color w:val="000000"/>
          <w:shd w:val="clear" w:color="auto" w:fill="FFFFFF"/>
          <w:vertAlign w:val="subscript"/>
        </w:rPr>
        <w:t>С</w:t>
      </w:r>
      <w:r w:rsidRPr="007859CC">
        <w:rPr>
          <w:color w:val="000000"/>
          <w:shd w:val="clear" w:color="auto" w:fill="FFFFFF"/>
        </w:rPr>
        <w:t>) и потолка (Р</w:t>
      </w:r>
      <w:r w:rsidRPr="007859CC">
        <w:rPr>
          <w:color w:val="000000"/>
          <w:shd w:val="clear" w:color="auto" w:fill="FFFFFF"/>
          <w:vertAlign w:val="subscript"/>
        </w:rPr>
        <w:t>П</w:t>
      </w:r>
      <w:r w:rsidRPr="007859CC">
        <w:rPr>
          <w:color w:val="000000"/>
          <w:shd w:val="clear" w:color="auto" w:fill="FFFFFF"/>
        </w:rPr>
        <w:t>)), значение коэффициентов Р</w:t>
      </w:r>
      <w:r w:rsidRPr="007859CC">
        <w:rPr>
          <w:color w:val="000000"/>
          <w:shd w:val="clear" w:color="auto" w:fill="FFFFFF"/>
          <w:vertAlign w:val="subscript"/>
        </w:rPr>
        <w:t>С</w:t>
      </w:r>
      <w:r w:rsidRPr="007859CC">
        <w:rPr>
          <w:color w:val="000000"/>
          <w:shd w:val="clear" w:color="auto" w:fill="FFFFFF"/>
        </w:rPr>
        <w:t> и Р</w:t>
      </w:r>
      <w:r w:rsidRPr="007859CC">
        <w:rPr>
          <w:color w:val="000000"/>
          <w:shd w:val="clear" w:color="auto" w:fill="FFFFFF"/>
          <w:vertAlign w:val="subscript"/>
        </w:rPr>
        <w:t>П</w:t>
      </w:r>
      <w:r w:rsidRPr="007859CC">
        <w:rPr>
          <w:color w:val="000000"/>
          <w:shd w:val="clear" w:color="auto" w:fill="FFFFFF"/>
        </w:rPr>
        <w:t> были указаны выше: Р</w:t>
      </w:r>
      <w:r w:rsidRPr="007859CC">
        <w:rPr>
          <w:color w:val="000000"/>
          <w:shd w:val="clear" w:color="auto" w:fill="FFFFFF"/>
          <w:vertAlign w:val="subscript"/>
        </w:rPr>
        <w:t>С</w:t>
      </w:r>
      <w:r w:rsidRPr="007859CC">
        <w:rPr>
          <w:color w:val="000000"/>
          <w:shd w:val="clear" w:color="auto" w:fill="FFFFFF"/>
        </w:rPr>
        <w:t>=40%, Р</w:t>
      </w:r>
      <w:r w:rsidRPr="007859CC">
        <w:rPr>
          <w:color w:val="000000"/>
          <w:shd w:val="clear" w:color="auto" w:fill="FFFFFF"/>
          <w:vertAlign w:val="subscript"/>
        </w:rPr>
        <w:t>П</w:t>
      </w:r>
      <w:r w:rsidRPr="007859CC">
        <w:rPr>
          <w:color w:val="000000"/>
          <w:shd w:val="clear" w:color="auto" w:fill="FFFFFF"/>
        </w:rPr>
        <w:t>=60%. Значение </w:t>
      </w:r>
      <w:r w:rsidRPr="007859CC">
        <w:rPr>
          <w:b/>
          <w:bCs/>
          <w:color w:val="000000"/>
          <w:shd w:val="clear" w:color="auto" w:fill="FFFFFF"/>
        </w:rPr>
        <w:t>n</w:t>
      </w:r>
      <w:r w:rsidRPr="007859CC">
        <w:rPr>
          <w:color w:val="000000"/>
          <w:shd w:val="clear" w:color="auto" w:fill="FFFFFF"/>
        </w:rPr>
        <w:t> определим по таблице коэффициентов использования различных светильников. Для этого вычислим индекс помещения по формуле: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, где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b/>
          <w:bCs/>
          <w:iCs/>
          <w:color w:val="000000"/>
          <w:shd w:val="clear" w:color="auto" w:fill="FFFFFF"/>
        </w:rPr>
        <w:t>S</w:t>
      </w:r>
      <w:r w:rsidRPr="007859CC">
        <w:rPr>
          <w:color w:val="000000"/>
          <w:shd w:val="clear" w:color="auto" w:fill="FFFFFF"/>
        </w:rPr>
        <w:t> - площадь помещения, </w:t>
      </w:r>
      <w:r w:rsidRPr="007859CC">
        <w:rPr>
          <w:b/>
          <w:bCs/>
          <w:color w:val="000000"/>
          <w:shd w:val="clear" w:color="auto" w:fill="FFFFFF"/>
        </w:rPr>
        <w:t>S</w:t>
      </w:r>
      <w:r w:rsidRPr="007859CC">
        <w:rPr>
          <w:color w:val="000000"/>
          <w:shd w:val="clear" w:color="auto" w:fill="FFFFFF"/>
        </w:rPr>
        <w:t> = 15 м</w:t>
      </w:r>
      <w:r w:rsidRPr="007859CC">
        <w:rPr>
          <w:color w:val="000000"/>
          <w:shd w:val="clear" w:color="auto" w:fill="FFFFFF"/>
          <w:vertAlign w:val="superscript"/>
        </w:rPr>
        <w:t>2</w:t>
      </w:r>
      <w:r w:rsidRPr="007859CC">
        <w:rPr>
          <w:color w:val="000000"/>
          <w:shd w:val="clear" w:color="auto" w:fill="FFFFFF"/>
        </w:rPr>
        <w:t>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b/>
          <w:bCs/>
          <w:iCs/>
          <w:color w:val="000000"/>
          <w:shd w:val="clear" w:color="auto" w:fill="FFFFFF"/>
        </w:rPr>
        <w:t>h</w:t>
      </w:r>
      <w:r w:rsidRPr="007859CC">
        <w:rPr>
          <w:color w:val="000000"/>
          <w:shd w:val="clear" w:color="auto" w:fill="FFFFFF"/>
        </w:rPr>
        <w:t> - расчетная высота подвеса, </w:t>
      </w:r>
      <w:r w:rsidRPr="007859CC">
        <w:rPr>
          <w:b/>
          <w:bCs/>
          <w:color w:val="000000"/>
          <w:shd w:val="clear" w:color="auto" w:fill="FFFFFF"/>
        </w:rPr>
        <w:t>h</w:t>
      </w:r>
      <w:r w:rsidRPr="007859CC">
        <w:rPr>
          <w:color w:val="000000"/>
          <w:shd w:val="clear" w:color="auto" w:fill="FFFFFF"/>
        </w:rPr>
        <w:t> = 2.92 м;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b/>
          <w:bCs/>
          <w:iCs/>
          <w:color w:val="000000"/>
          <w:shd w:val="clear" w:color="auto" w:fill="FFFFFF"/>
        </w:rPr>
        <w:t>A</w:t>
      </w:r>
      <w:r w:rsidRPr="007859CC">
        <w:rPr>
          <w:color w:val="000000"/>
          <w:shd w:val="clear" w:color="auto" w:fill="FFFFFF"/>
        </w:rPr>
        <w:t> - ширина помещения, </w:t>
      </w:r>
      <w:proofErr w:type="gramStart"/>
      <w:r w:rsidRPr="007859CC">
        <w:rPr>
          <w:b/>
          <w:bCs/>
          <w:color w:val="000000"/>
          <w:shd w:val="clear" w:color="auto" w:fill="FFFFFF"/>
        </w:rPr>
        <w:t>А</w:t>
      </w:r>
      <w:proofErr w:type="gramEnd"/>
      <w:r w:rsidRPr="007859CC">
        <w:rPr>
          <w:color w:val="000000"/>
          <w:shd w:val="clear" w:color="auto" w:fill="FFFFFF"/>
        </w:rPr>
        <w:t> = 3 м;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b/>
          <w:bCs/>
          <w:iCs/>
          <w:color w:val="000000"/>
          <w:shd w:val="clear" w:color="auto" w:fill="FFFFFF"/>
        </w:rPr>
        <w:t>В</w:t>
      </w:r>
      <w:r w:rsidRPr="007859CC">
        <w:rPr>
          <w:color w:val="000000"/>
          <w:shd w:val="clear" w:color="auto" w:fill="FFFFFF"/>
        </w:rPr>
        <w:t> - длина помещения, </w:t>
      </w:r>
      <w:r w:rsidRPr="007859CC">
        <w:rPr>
          <w:b/>
          <w:bCs/>
          <w:color w:val="000000"/>
          <w:shd w:val="clear" w:color="auto" w:fill="FFFFFF"/>
        </w:rPr>
        <w:t>В</w:t>
      </w:r>
      <w:r w:rsidRPr="007859CC">
        <w:rPr>
          <w:color w:val="000000"/>
          <w:shd w:val="clear" w:color="auto" w:fill="FFFFFF"/>
        </w:rPr>
        <w:t> = 5 м.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Подставив значения получим: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Зная индекс помещения </w:t>
      </w:r>
      <w:r w:rsidRPr="007859CC">
        <w:rPr>
          <w:b/>
          <w:bCs/>
          <w:iCs/>
          <w:color w:val="000000"/>
          <w:shd w:val="clear" w:color="auto" w:fill="FFFFFF"/>
        </w:rPr>
        <w:t>I</w:t>
      </w:r>
      <w:r w:rsidRPr="007859CC">
        <w:rPr>
          <w:color w:val="000000"/>
          <w:shd w:val="clear" w:color="auto" w:fill="FFFFFF"/>
        </w:rPr>
        <w:t>, по таблице 7 [23] находим </w:t>
      </w:r>
      <w:r w:rsidRPr="007859CC">
        <w:rPr>
          <w:b/>
          <w:bCs/>
          <w:iCs/>
          <w:color w:val="000000"/>
          <w:shd w:val="clear" w:color="auto" w:fill="FFFFFF"/>
        </w:rPr>
        <w:t>n</w:t>
      </w:r>
      <w:r w:rsidRPr="007859CC">
        <w:rPr>
          <w:b/>
          <w:bCs/>
          <w:color w:val="000000"/>
          <w:shd w:val="clear" w:color="auto" w:fill="FFFFFF"/>
        </w:rPr>
        <w:t> </w:t>
      </w:r>
      <w:r w:rsidRPr="007859CC">
        <w:rPr>
          <w:color w:val="000000"/>
          <w:shd w:val="clear" w:color="auto" w:fill="FFFFFF"/>
        </w:rPr>
        <w:t>= 0,22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Подставим все значения в формулу для определения светового потока </w:t>
      </w:r>
      <w:r w:rsidRPr="007859CC">
        <w:rPr>
          <w:b/>
          <w:bCs/>
          <w:iCs/>
          <w:color w:val="000000"/>
          <w:shd w:val="clear" w:color="auto" w:fill="FFFFFF"/>
        </w:rPr>
        <w:t>F</w:t>
      </w:r>
      <w:r w:rsidRPr="007859CC">
        <w:rPr>
          <w:color w:val="000000"/>
          <w:shd w:val="clear" w:color="auto" w:fill="FFFFFF"/>
        </w:rPr>
        <w:t>: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Для освещения выбираем люминесцентные лампы типа ЛБ40-1, световой поток которых </w:t>
      </w:r>
      <w:r w:rsidRPr="007859CC">
        <w:rPr>
          <w:b/>
          <w:bCs/>
          <w:color w:val="000000"/>
          <w:shd w:val="clear" w:color="auto" w:fill="FFFFFF"/>
        </w:rPr>
        <w:t>F</w:t>
      </w:r>
      <w:r w:rsidRPr="007859CC">
        <w:rPr>
          <w:color w:val="000000"/>
          <w:shd w:val="clear" w:color="auto" w:fill="FFFFFF"/>
        </w:rPr>
        <w:t xml:space="preserve"> = 4320 </w:t>
      </w:r>
      <w:proofErr w:type="spellStart"/>
      <w:r w:rsidRPr="007859CC">
        <w:rPr>
          <w:color w:val="000000"/>
          <w:shd w:val="clear" w:color="auto" w:fill="FFFFFF"/>
        </w:rPr>
        <w:t>Лк</w:t>
      </w:r>
      <w:proofErr w:type="spellEnd"/>
      <w:r w:rsidRPr="007859CC">
        <w:rPr>
          <w:color w:val="000000"/>
          <w:shd w:val="clear" w:color="auto" w:fill="FFFFFF"/>
        </w:rPr>
        <w:t>.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Рассчитаем необходимое количество ламп по формуле: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b/>
          <w:bCs/>
          <w:iCs/>
          <w:color w:val="000000"/>
          <w:shd w:val="clear" w:color="auto" w:fill="FFFFFF"/>
        </w:rPr>
        <w:t>N</w:t>
      </w:r>
      <w:r w:rsidRPr="007859CC">
        <w:rPr>
          <w:color w:val="000000"/>
          <w:shd w:val="clear" w:color="auto" w:fill="FFFFFF"/>
        </w:rPr>
        <w:t> - определяемое число ламп;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b/>
          <w:bCs/>
          <w:iCs/>
          <w:color w:val="000000"/>
          <w:shd w:val="clear" w:color="auto" w:fill="FFFFFF"/>
        </w:rPr>
        <w:t>F</w:t>
      </w:r>
      <w:r w:rsidRPr="007859CC">
        <w:rPr>
          <w:color w:val="000000"/>
          <w:shd w:val="clear" w:color="auto" w:fill="FFFFFF"/>
        </w:rPr>
        <w:t> - световой поток, </w:t>
      </w:r>
      <w:r w:rsidRPr="007859CC">
        <w:rPr>
          <w:b/>
          <w:bCs/>
          <w:color w:val="000000"/>
          <w:shd w:val="clear" w:color="auto" w:fill="FFFFFF"/>
        </w:rPr>
        <w:t>F</w:t>
      </w:r>
      <w:r w:rsidRPr="007859CC">
        <w:rPr>
          <w:color w:val="000000"/>
          <w:shd w:val="clear" w:color="auto" w:fill="FFFFFF"/>
        </w:rPr>
        <w:t> = 33750 Лм;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proofErr w:type="spellStart"/>
      <w:r w:rsidRPr="007859CC">
        <w:rPr>
          <w:b/>
          <w:bCs/>
          <w:iCs/>
          <w:color w:val="000000"/>
          <w:shd w:val="clear" w:color="auto" w:fill="FFFFFF"/>
        </w:rPr>
        <w:t>F</w:t>
      </w:r>
      <w:r w:rsidRPr="007859CC">
        <w:rPr>
          <w:b/>
          <w:bCs/>
          <w:iCs/>
          <w:color w:val="000000"/>
          <w:shd w:val="clear" w:color="auto" w:fill="FFFFFF"/>
          <w:vertAlign w:val="subscript"/>
        </w:rPr>
        <w:t>л</w:t>
      </w:r>
      <w:proofErr w:type="spellEnd"/>
      <w:r w:rsidRPr="007859CC">
        <w:rPr>
          <w:color w:val="000000"/>
          <w:shd w:val="clear" w:color="auto" w:fill="FFFFFF"/>
        </w:rPr>
        <w:t>- световой поток лампы, </w:t>
      </w:r>
      <w:proofErr w:type="spellStart"/>
      <w:r w:rsidRPr="007859CC">
        <w:rPr>
          <w:b/>
          <w:bCs/>
          <w:color w:val="000000"/>
          <w:shd w:val="clear" w:color="auto" w:fill="FFFFFF"/>
        </w:rPr>
        <w:t>F</w:t>
      </w:r>
      <w:r w:rsidRPr="007859CC">
        <w:rPr>
          <w:b/>
          <w:bCs/>
          <w:color w:val="000000"/>
          <w:shd w:val="clear" w:color="auto" w:fill="FFFFFF"/>
          <w:vertAlign w:val="subscript"/>
        </w:rPr>
        <w:t>л</w:t>
      </w:r>
      <w:proofErr w:type="spellEnd"/>
      <w:r w:rsidRPr="007859CC">
        <w:rPr>
          <w:color w:val="000000"/>
          <w:shd w:val="clear" w:color="auto" w:fill="FFFFFF"/>
        </w:rPr>
        <w:t> = 4320 Лм.</w:t>
      </w:r>
    </w:p>
    <w:p w:rsidR="00767B9C" w:rsidRPr="007859CC" w:rsidRDefault="00767B9C" w:rsidP="007859CC">
      <w:pPr>
        <w:pStyle w:val="a3"/>
        <w:spacing w:before="0" w:beforeAutospacing="0" w:after="120" w:afterAutospacing="0"/>
        <w:rPr>
          <w:color w:val="000000"/>
          <w:shd w:val="clear" w:color="auto" w:fill="FFFFFF"/>
        </w:rPr>
      </w:pPr>
      <w:r w:rsidRPr="007859CC">
        <w:rPr>
          <w:color w:val="000000"/>
          <w:shd w:val="clear" w:color="auto" w:fill="FFFFFF"/>
        </w:rPr>
        <w:t>При выборе осветительных приборов используем светильники типа ОД. Каждый светильник комплектуется двумя лампами.</w:t>
      </w:r>
    </w:p>
    <w:p w:rsidR="00767B9C" w:rsidRPr="007859CC" w:rsidRDefault="00767B9C" w:rsidP="007859CC">
      <w:pPr>
        <w:spacing w:after="120"/>
        <w:rPr>
          <w:rFonts w:ascii="Times New Roman" w:hAnsi="Times New Roman" w:cs="Times New Roman"/>
          <w:b/>
          <w:sz w:val="28"/>
          <w:szCs w:val="24"/>
        </w:rPr>
      </w:pPr>
      <w:r w:rsidRPr="007859CC">
        <w:rPr>
          <w:rFonts w:ascii="Times New Roman" w:hAnsi="Times New Roman" w:cs="Times New Roman"/>
          <w:b/>
          <w:sz w:val="28"/>
          <w:szCs w:val="24"/>
        </w:rPr>
        <w:t>Расчет уровня шума</w:t>
      </w:r>
    </w:p>
    <w:p w:rsidR="00767B9C" w:rsidRPr="00767B9C" w:rsidRDefault="00767B9C" w:rsidP="007859C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767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Уровни звукового давления различных источников.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2508"/>
        <w:gridCol w:w="516"/>
      </w:tblGrid>
      <w:tr w:rsidR="00767B9C" w:rsidRPr="00767B9C" w:rsidTr="00767B9C">
        <w:trPr>
          <w:gridAfter w:val="2"/>
        </w:trPr>
        <w:tc>
          <w:tcPr>
            <w:tcW w:w="0" w:type="auto"/>
            <w:shd w:val="clear" w:color="auto" w:fill="F2F2F2"/>
            <w:vAlign w:val="center"/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767B9C" w:rsidRPr="00767B9C" w:rsidTr="00767B9C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7B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Источник шума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7B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Уровень шума, дБ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67B9C" w:rsidRPr="00767B9C" w:rsidTr="00767B9C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7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Жесткий диск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7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67B9C" w:rsidRPr="00767B9C" w:rsidTr="00767B9C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7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Вентилятор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7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67B9C" w:rsidRPr="00767B9C" w:rsidTr="00767B9C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7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Монитор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7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67B9C" w:rsidRPr="00767B9C" w:rsidTr="00767B9C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7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Клавиатура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7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67B9C" w:rsidRPr="00767B9C" w:rsidTr="00767B9C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7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Принтер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7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67B9C" w:rsidRPr="00767B9C" w:rsidTr="00767B9C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7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Сканер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7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767B9C" w:rsidRPr="00767B9C" w:rsidRDefault="00767B9C" w:rsidP="007859C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A2A11" w:rsidRPr="007859CC" w:rsidRDefault="00CA2A11" w:rsidP="007859CC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CA2A11" w:rsidRPr="00785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B9"/>
    <w:rsid w:val="005D7D1B"/>
    <w:rsid w:val="00767B9C"/>
    <w:rsid w:val="007859CC"/>
    <w:rsid w:val="009627B9"/>
    <w:rsid w:val="00CA2A11"/>
    <w:rsid w:val="00CA4B92"/>
    <w:rsid w:val="00E0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5A14"/>
  <w15:chartTrackingRefBased/>
  <w15:docId w15:val="{B293F44C-CC7C-4C71-8FF7-9E6A18C4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D7D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7D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D7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5D7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A4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A4B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59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EDEDED"/>
                                <w:left w:val="single" w:sz="6" w:space="12" w:color="EDEDED"/>
                                <w:bottom w:val="single" w:sz="6" w:space="8" w:color="EDEDED"/>
                                <w:right w:val="single" w:sz="6" w:space="13" w:color="EDEDED"/>
                              </w:divBdr>
                              <w:divsChild>
                                <w:div w:id="24322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15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11993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09927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462998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83900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05856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86048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745390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291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8886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2023-02-17T20:05:00Z</dcterms:created>
  <dcterms:modified xsi:type="dcterms:W3CDTF">2023-02-17T20:27:00Z</dcterms:modified>
</cp:coreProperties>
</file>