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4845" w14:textId="19E83063" w:rsidR="00D53743" w:rsidRDefault="000D53EF" w:rsidP="00EB7BB6">
      <w:pPr>
        <w:rPr>
          <w:lang w:val="en-US"/>
        </w:rPr>
      </w:pPr>
      <w:r>
        <w:rPr>
          <w:lang w:val="en-US"/>
        </w:rPr>
        <w:t>##</w:t>
      </w:r>
      <w:r w:rsidR="00D53743">
        <w:rPr>
          <w:lang w:val="en-US"/>
        </w:rPr>
        <w:t xml:space="preserve"> Abstract</w:t>
      </w:r>
    </w:p>
    <w:p w14:paraId="22CC4A57" w14:textId="281F390C" w:rsidR="00D53743" w:rsidRDefault="00D53743" w:rsidP="00EB7BB6">
      <w:pPr>
        <w:rPr>
          <w:lang w:val="en-US"/>
        </w:rPr>
      </w:pPr>
    </w:p>
    <w:p w14:paraId="2F6193AF" w14:textId="000AA48C" w:rsidR="00362249" w:rsidRDefault="00362249" w:rsidP="00362249">
      <w:pPr>
        <w:rPr>
          <w:lang w:val="en-US"/>
        </w:rPr>
      </w:pPr>
      <w:r w:rsidRPr="00362249">
        <w:rPr>
          <w:lang w:val="en-US"/>
        </w:rPr>
        <w:t xml:space="preserve">While economic factors beyond </w:t>
      </w:r>
      <w:r w:rsidR="00F110C3">
        <w:rPr>
          <w:lang w:val="en-US"/>
        </w:rPr>
        <w:t xml:space="preserve">incumbents’ </w:t>
      </w:r>
      <w:r w:rsidRPr="00362249">
        <w:rPr>
          <w:lang w:val="en-US"/>
        </w:rPr>
        <w:t xml:space="preserve">control, like </w:t>
      </w:r>
      <w:r w:rsidR="00C42BA3">
        <w:rPr>
          <w:lang w:val="en-US"/>
        </w:rPr>
        <w:t xml:space="preserve">oil </w:t>
      </w:r>
      <w:r w:rsidRPr="00362249">
        <w:rPr>
          <w:lang w:val="en-US"/>
        </w:rPr>
        <w:t>prices</w:t>
      </w:r>
      <w:r w:rsidR="00892739">
        <w:rPr>
          <w:lang w:val="en-US"/>
        </w:rPr>
        <w:t xml:space="preserve"> and international interest rates</w:t>
      </w:r>
      <w:r w:rsidRPr="00362249">
        <w:rPr>
          <w:lang w:val="en-US"/>
        </w:rPr>
        <w:t xml:space="preserve">, often dictate presidential </w:t>
      </w:r>
      <w:r w:rsidR="000F7DF6">
        <w:rPr>
          <w:lang w:val="en-US"/>
        </w:rPr>
        <w:t>success</w:t>
      </w:r>
      <w:r w:rsidRPr="00362249">
        <w:rPr>
          <w:lang w:val="en-US"/>
        </w:rPr>
        <w:t xml:space="preserve"> in Latin America,</w:t>
      </w:r>
      <w:r w:rsidR="00835550">
        <w:rPr>
          <w:lang w:val="en-US"/>
        </w:rPr>
        <w:t xml:space="preserve"> the case of</w:t>
      </w:r>
      <w:r w:rsidRPr="00362249">
        <w:rPr>
          <w:lang w:val="en-US"/>
        </w:rPr>
        <w:t xml:space="preserve"> Mexico presents a puzzle. Research</w:t>
      </w:r>
      <w:r w:rsidR="00D71242">
        <w:rPr>
          <w:lang w:val="en-US"/>
        </w:rPr>
        <w:t xml:space="preserve"> by</w:t>
      </w:r>
      <w:r w:rsidRPr="00362249">
        <w:rPr>
          <w:lang w:val="en-US"/>
        </w:rPr>
        <w:t xml:space="preserve"> </w:t>
      </w:r>
      <w:r w:rsidR="00B418F2" w:rsidRPr="00BE7CF1">
        <w:rPr>
          <w:highlight w:val="magenta"/>
          <w:lang w:val="en-US"/>
        </w:rPr>
        <w:t>@C</w:t>
      </w:r>
      <w:r w:rsidRPr="00BE7CF1">
        <w:rPr>
          <w:highlight w:val="magenta"/>
          <w:lang w:val="en-US"/>
        </w:rPr>
        <w:t>ampelloZucco</w:t>
      </w:r>
      <w:r w:rsidR="00B418F2" w:rsidRPr="00BE7CF1">
        <w:rPr>
          <w:highlight w:val="magenta"/>
          <w:lang w:val="en-US"/>
        </w:rPr>
        <w:t>_</w:t>
      </w:r>
      <w:r w:rsidRPr="00BE7CF1">
        <w:rPr>
          <w:highlight w:val="magenta"/>
          <w:lang w:val="en-US"/>
        </w:rPr>
        <w:t>2016</w:t>
      </w:r>
      <w:r w:rsidRPr="00362249">
        <w:rPr>
          <w:lang w:val="en-US"/>
        </w:rPr>
        <w:t xml:space="preserve"> shows how Low Savings Commodity Exporting</w:t>
      </w:r>
      <w:r w:rsidR="001904AF">
        <w:rPr>
          <w:lang w:val="en-US"/>
        </w:rPr>
        <w:t xml:space="preserve"> (LSCE)</w:t>
      </w:r>
      <w:r w:rsidRPr="00362249">
        <w:rPr>
          <w:lang w:val="en-US"/>
        </w:rPr>
        <w:t xml:space="preserve"> </w:t>
      </w:r>
      <w:r w:rsidR="00354350">
        <w:rPr>
          <w:lang w:val="en-US"/>
        </w:rPr>
        <w:t xml:space="preserve">Latin American </w:t>
      </w:r>
      <w:r w:rsidRPr="00362249">
        <w:rPr>
          <w:lang w:val="en-US"/>
        </w:rPr>
        <w:t xml:space="preserve">countries tie presidents' fate to external economic swings, but in Mexico, the </w:t>
      </w:r>
      <w:r w:rsidR="00CF5649" w:rsidRPr="00362249">
        <w:rPr>
          <w:lang w:val="en-US"/>
        </w:rPr>
        <w:t>link</w:t>
      </w:r>
      <w:r w:rsidRPr="00362249">
        <w:rPr>
          <w:lang w:val="en-US"/>
        </w:rPr>
        <w:t xml:space="preserve"> appears weaker. This suggests other factors influence Mexican presidential success, potentially including the impact of the US economy. I propose that Mexico's unique characteristics, shaped by long-term migration and economic ties to the US, make it less sensitive to traditional </w:t>
      </w:r>
      <w:r w:rsidR="00E00421">
        <w:rPr>
          <w:lang w:val="en-US"/>
        </w:rPr>
        <w:t xml:space="preserve">exogenous </w:t>
      </w:r>
      <w:r w:rsidRPr="00362249">
        <w:rPr>
          <w:lang w:val="en-US"/>
        </w:rPr>
        <w:t>shocks, but more susceptible to th</w:t>
      </w:r>
      <w:r w:rsidR="00C0404A">
        <w:rPr>
          <w:lang w:val="en-US"/>
        </w:rPr>
        <w:t>ose</w:t>
      </w:r>
      <w:r w:rsidRPr="00362249">
        <w:rPr>
          <w:lang w:val="en-US"/>
        </w:rPr>
        <w:t xml:space="preserve"> specific </w:t>
      </w:r>
      <w:r w:rsidR="00912D9D">
        <w:rPr>
          <w:lang w:val="en-US"/>
        </w:rPr>
        <w:t xml:space="preserve">to the </w:t>
      </w:r>
      <w:r w:rsidRPr="00362249">
        <w:rPr>
          <w:lang w:val="en-US"/>
        </w:rPr>
        <w:t xml:space="preserve">conditions of the US economy. </w:t>
      </w:r>
      <w:r w:rsidR="0016301C">
        <w:rPr>
          <w:lang w:val="en-US"/>
        </w:rPr>
        <w:t>I focus on t</w:t>
      </w:r>
      <w:r w:rsidR="006840B4">
        <w:rPr>
          <w:lang w:val="en-US"/>
        </w:rPr>
        <w:t xml:space="preserve">his </w:t>
      </w:r>
      <w:r w:rsidRPr="00362249">
        <w:rPr>
          <w:lang w:val="en-US"/>
        </w:rPr>
        <w:t>relationship and the mechanism of misattribution</w:t>
      </w:r>
      <w:r w:rsidR="004D0AD7">
        <w:rPr>
          <w:lang w:val="en-US"/>
        </w:rPr>
        <w:t xml:space="preserve"> of responsibility</w:t>
      </w:r>
      <w:r w:rsidR="00A9067D">
        <w:rPr>
          <w:lang w:val="en-US"/>
        </w:rPr>
        <w:t xml:space="preserve">, which occurs when </w:t>
      </w:r>
      <w:r w:rsidR="00EF1C6A">
        <w:rPr>
          <w:lang w:val="en-US"/>
        </w:rPr>
        <w:t xml:space="preserve">citizens mistakenly assign </w:t>
      </w:r>
      <w:r w:rsidRPr="00362249">
        <w:rPr>
          <w:lang w:val="en-US"/>
        </w:rPr>
        <w:t>economic outcomes to president</w:t>
      </w:r>
      <w:r w:rsidR="00EF1C6A">
        <w:rPr>
          <w:lang w:val="en-US"/>
        </w:rPr>
        <w:t>ial performance</w:t>
      </w:r>
      <w:r w:rsidR="009F6CE2">
        <w:rPr>
          <w:lang w:val="en-US"/>
        </w:rPr>
        <w:t>,</w:t>
      </w:r>
      <w:r w:rsidRPr="00362249">
        <w:rPr>
          <w:lang w:val="en-US"/>
        </w:rPr>
        <w:t xml:space="preserve"> regardless of </w:t>
      </w:r>
      <w:r w:rsidR="00364B37">
        <w:rPr>
          <w:lang w:val="en-US"/>
        </w:rPr>
        <w:t xml:space="preserve">its </w:t>
      </w:r>
      <w:r w:rsidRPr="00362249">
        <w:rPr>
          <w:lang w:val="en-US"/>
        </w:rPr>
        <w:t>true cause</w:t>
      </w:r>
      <w:r w:rsidR="009F6CE2">
        <w:rPr>
          <w:lang w:val="en-US"/>
        </w:rPr>
        <w:t>.</w:t>
      </w:r>
      <w:r w:rsidRPr="00362249">
        <w:rPr>
          <w:lang w:val="en-US"/>
        </w:rPr>
        <w:t xml:space="preserve"> </w:t>
      </w:r>
      <w:r w:rsidR="00DE5E73">
        <w:rPr>
          <w:lang w:val="en-US"/>
        </w:rPr>
        <w:t xml:space="preserve">I contend </w:t>
      </w:r>
      <w:r w:rsidR="00F609DE" w:rsidRPr="00F609DE">
        <w:rPr>
          <w:lang w:val="en-US"/>
        </w:rPr>
        <w:t xml:space="preserve">that citizen perceptions </w:t>
      </w:r>
      <w:r w:rsidR="00E45C20">
        <w:rPr>
          <w:lang w:val="en-US"/>
        </w:rPr>
        <w:t>towards</w:t>
      </w:r>
      <w:r w:rsidR="004E3C32">
        <w:rPr>
          <w:lang w:val="en-US"/>
        </w:rPr>
        <w:t xml:space="preserve"> positive economic conditions </w:t>
      </w:r>
      <w:r w:rsidR="00941762">
        <w:rPr>
          <w:lang w:val="en-US"/>
        </w:rPr>
        <w:t xml:space="preserve">that are </w:t>
      </w:r>
      <w:r w:rsidR="004E3C32">
        <w:rPr>
          <w:lang w:val="en-US"/>
        </w:rPr>
        <w:t xml:space="preserve">largely </w:t>
      </w:r>
      <w:r w:rsidR="00E0330F">
        <w:rPr>
          <w:lang w:val="en-US"/>
        </w:rPr>
        <w:t xml:space="preserve">determined </w:t>
      </w:r>
      <w:r w:rsidR="004E3C32">
        <w:rPr>
          <w:lang w:val="en-US"/>
        </w:rPr>
        <w:t>by</w:t>
      </w:r>
      <w:r w:rsidR="00F609DE" w:rsidRPr="00F609DE">
        <w:rPr>
          <w:lang w:val="en-US"/>
        </w:rPr>
        <w:t xml:space="preserve"> specific </w:t>
      </w:r>
      <w:r w:rsidR="00431226">
        <w:rPr>
          <w:lang w:val="en-US"/>
        </w:rPr>
        <w:t>fluctuations</w:t>
      </w:r>
      <w:r w:rsidR="00C779F8">
        <w:rPr>
          <w:lang w:val="en-US"/>
        </w:rPr>
        <w:t xml:space="preserve"> </w:t>
      </w:r>
      <w:r w:rsidR="00F609DE" w:rsidRPr="00F609DE">
        <w:rPr>
          <w:lang w:val="en-US"/>
        </w:rPr>
        <w:t>of the US economy, such as remittance flows</w:t>
      </w:r>
      <w:r w:rsidR="00C779F8">
        <w:rPr>
          <w:lang w:val="en-US"/>
        </w:rPr>
        <w:t xml:space="preserve"> and </w:t>
      </w:r>
      <w:r w:rsidR="003B1E9D">
        <w:rPr>
          <w:lang w:val="en-US"/>
        </w:rPr>
        <w:t xml:space="preserve">strong employment </w:t>
      </w:r>
      <w:r w:rsidR="0063157B">
        <w:rPr>
          <w:lang w:val="en-US"/>
        </w:rPr>
        <w:t xml:space="preserve">in </w:t>
      </w:r>
      <w:r w:rsidR="009602BF">
        <w:rPr>
          <w:lang w:val="en-US"/>
        </w:rPr>
        <w:t xml:space="preserve">the </w:t>
      </w:r>
      <w:r w:rsidR="0063157B">
        <w:rPr>
          <w:lang w:val="en-US"/>
        </w:rPr>
        <w:t>construction sector</w:t>
      </w:r>
      <w:r w:rsidR="00F609DE" w:rsidRPr="00F609DE">
        <w:rPr>
          <w:lang w:val="en-US"/>
        </w:rPr>
        <w:t xml:space="preserve">, significantly impact Mexican presidential approval, </w:t>
      </w:r>
      <w:r w:rsidR="003942FE">
        <w:rPr>
          <w:lang w:val="en-US"/>
        </w:rPr>
        <w:t xml:space="preserve">which </w:t>
      </w:r>
      <w:r w:rsidR="00F609DE" w:rsidRPr="00F609DE">
        <w:rPr>
          <w:lang w:val="en-US"/>
        </w:rPr>
        <w:t xml:space="preserve">potentially </w:t>
      </w:r>
      <w:r w:rsidR="00A71AF8" w:rsidRPr="00F609DE">
        <w:rPr>
          <w:lang w:val="en-US"/>
        </w:rPr>
        <w:t>advanc</w:t>
      </w:r>
      <w:r w:rsidR="003942FE">
        <w:rPr>
          <w:lang w:val="en-US"/>
        </w:rPr>
        <w:t xml:space="preserve">es </w:t>
      </w:r>
      <w:r w:rsidR="00F609DE" w:rsidRPr="00F609DE">
        <w:rPr>
          <w:lang w:val="en-US"/>
        </w:rPr>
        <w:t xml:space="preserve">misattribution. </w:t>
      </w:r>
      <w:r w:rsidR="005572A3">
        <w:rPr>
          <w:lang w:val="en-US"/>
        </w:rPr>
        <w:t>T</w:t>
      </w:r>
      <w:r w:rsidRPr="00362249">
        <w:rPr>
          <w:lang w:val="en-US"/>
        </w:rPr>
        <w:t xml:space="preserve">his research aims </w:t>
      </w:r>
      <w:r w:rsidR="00426504">
        <w:rPr>
          <w:lang w:val="en-US"/>
        </w:rPr>
        <w:t xml:space="preserve">to </w:t>
      </w:r>
      <w:r w:rsidR="00C42BA3">
        <w:rPr>
          <w:lang w:val="en-US"/>
        </w:rPr>
        <w:t xml:space="preserve">better characterize </w:t>
      </w:r>
      <w:r w:rsidRPr="00362249">
        <w:rPr>
          <w:lang w:val="en-US"/>
        </w:rPr>
        <w:t>the factors beyond commodity prices and interest rates that influence Mexican presidential success.</w:t>
      </w:r>
    </w:p>
    <w:p w14:paraId="0E169713" w14:textId="77777777" w:rsidR="00D53743" w:rsidRDefault="00D53743" w:rsidP="00EB7BB6">
      <w:pPr>
        <w:rPr>
          <w:lang w:val="en-US"/>
        </w:rPr>
      </w:pPr>
    </w:p>
    <w:p w14:paraId="25A0FBD3" w14:textId="1D26B63E" w:rsidR="00D53743" w:rsidRDefault="000D53EF" w:rsidP="00EB7BB6">
      <w:pPr>
        <w:rPr>
          <w:lang w:val="en-US"/>
        </w:rPr>
      </w:pPr>
      <w:r>
        <w:rPr>
          <w:lang w:val="en-US"/>
        </w:rPr>
        <w:t>##</w:t>
      </w:r>
      <w:r w:rsidR="00D53743">
        <w:rPr>
          <w:lang w:val="en-US"/>
        </w:rPr>
        <w:t xml:space="preserve"> Introduction</w:t>
      </w:r>
    </w:p>
    <w:p w14:paraId="4E2BB3D9" w14:textId="77777777" w:rsidR="00D53743" w:rsidRDefault="00D53743" w:rsidP="00EB7BB6">
      <w:pPr>
        <w:rPr>
          <w:lang w:val="en-US"/>
        </w:rPr>
      </w:pPr>
    </w:p>
    <w:p w14:paraId="0A8FA61C" w14:textId="04385FC4" w:rsidR="00EB7BB6" w:rsidRDefault="00044AE3" w:rsidP="00EB7BB6">
      <w:pPr>
        <w:rPr>
          <w:lang w:val="en-US"/>
        </w:rPr>
      </w:pPr>
      <w:r>
        <w:rPr>
          <w:lang w:val="en-US"/>
        </w:rPr>
        <w:t xml:space="preserve">Mexico is </w:t>
      </w:r>
      <w:r w:rsidR="00D10D05">
        <w:rPr>
          <w:lang w:val="en-US"/>
        </w:rPr>
        <w:t xml:space="preserve">both </w:t>
      </w:r>
      <w:r w:rsidR="00A473F5">
        <w:rPr>
          <w:lang w:val="en-US"/>
        </w:rPr>
        <w:t>part of Latin American countries</w:t>
      </w:r>
      <w:r w:rsidR="0067183B">
        <w:rPr>
          <w:lang w:val="en-US"/>
        </w:rPr>
        <w:t xml:space="preserve"> due to its Spanish heritage</w:t>
      </w:r>
      <w:r w:rsidR="00290964">
        <w:rPr>
          <w:lang w:val="en-US"/>
        </w:rPr>
        <w:t xml:space="preserve"> </w:t>
      </w:r>
      <w:r w:rsidR="00280850">
        <w:rPr>
          <w:lang w:val="en-US"/>
        </w:rPr>
        <w:t xml:space="preserve">and of </w:t>
      </w:r>
      <w:r w:rsidR="0048352B">
        <w:rPr>
          <w:lang w:val="en-US"/>
        </w:rPr>
        <w:t>North America</w:t>
      </w:r>
      <w:r w:rsidR="00851CC6">
        <w:rPr>
          <w:lang w:val="en-US"/>
        </w:rPr>
        <w:t xml:space="preserve"> </w:t>
      </w:r>
      <w:r w:rsidR="00E052E5">
        <w:rPr>
          <w:lang w:val="en-US"/>
        </w:rPr>
        <w:t xml:space="preserve">because of </w:t>
      </w:r>
      <w:r w:rsidR="00851CC6">
        <w:rPr>
          <w:lang w:val="en-US"/>
        </w:rPr>
        <w:t>its geography</w:t>
      </w:r>
      <w:r w:rsidR="005D283B">
        <w:rPr>
          <w:lang w:val="en-US"/>
        </w:rPr>
        <w:t xml:space="preserve">. </w:t>
      </w:r>
      <w:r w:rsidR="0089133C">
        <w:rPr>
          <w:lang w:val="en-US"/>
        </w:rPr>
        <w:t>The</w:t>
      </w:r>
      <w:r w:rsidR="005D283B">
        <w:rPr>
          <w:lang w:val="en-US"/>
        </w:rPr>
        <w:t xml:space="preserve"> presence of </w:t>
      </w:r>
      <w:r w:rsidR="000D6111">
        <w:rPr>
          <w:lang w:val="en-US"/>
        </w:rPr>
        <w:t xml:space="preserve">Mexican culture is </w:t>
      </w:r>
      <w:r w:rsidR="0089133C">
        <w:rPr>
          <w:lang w:val="en-US"/>
        </w:rPr>
        <w:t xml:space="preserve">widely </w:t>
      </w:r>
      <w:r w:rsidR="000D6111">
        <w:rPr>
          <w:lang w:val="en-US"/>
        </w:rPr>
        <w:t xml:space="preserve">present </w:t>
      </w:r>
      <w:r w:rsidR="007C62CE">
        <w:rPr>
          <w:lang w:val="en-US"/>
        </w:rPr>
        <w:t>in Central and South America</w:t>
      </w:r>
      <w:r w:rsidR="003316F2">
        <w:rPr>
          <w:lang w:val="en-US"/>
        </w:rPr>
        <w:t xml:space="preserve"> </w:t>
      </w:r>
      <w:r w:rsidR="0089133C">
        <w:rPr>
          <w:lang w:val="en-US"/>
        </w:rPr>
        <w:t xml:space="preserve">however, </w:t>
      </w:r>
      <w:r w:rsidR="00D35E82">
        <w:rPr>
          <w:lang w:val="en-US"/>
        </w:rPr>
        <w:t xml:space="preserve">its economic </w:t>
      </w:r>
      <w:r w:rsidR="00E55465">
        <w:rPr>
          <w:lang w:val="en-US"/>
        </w:rPr>
        <w:t>dynamics</w:t>
      </w:r>
      <w:r w:rsidR="00D35E82">
        <w:rPr>
          <w:lang w:val="en-US"/>
        </w:rPr>
        <w:t xml:space="preserve"> very much differ from </w:t>
      </w:r>
      <w:r w:rsidR="00071442">
        <w:rPr>
          <w:lang w:val="en-US"/>
        </w:rPr>
        <w:t xml:space="preserve">that of </w:t>
      </w:r>
      <w:r w:rsidR="00016AF7">
        <w:rPr>
          <w:lang w:val="en-US"/>
        </w:rPr>
        <w:t xml:space="preserve">its </w:t>
      </w:r>
      <w:r w:rsidR="00D35E82">
        <w:rPr>
          <w:lang w:val="en-US"/>
        </w:rPr>
        <w:t>Latin American peers</w:t>
      </w:r>
      <w:r w:rsidR="0089133C">
        <w:rPr>
          <w:lang w:val="en-US"/>
        </w:rPr>
        <w:t>.</w:t>
      </w:r>
      <w:r w:rsidR="007832C5">
        <w:rPr>
          <w:lang w:val="en-US"/>
        </w:rPr>
        <w:t xml:space="preserve"> Decades of integration </w:t>
      </w:r>
      <w:r w:rsidR="004C0C90">
        <w:rPr>
          <w:lang w:val="en-US"/>
        </w:rPr>
        <w:t>with it</w:t>
      </w:r>
      <w:r w:rsidR="00B127AD">
        <w:rPr>
          <w:lang w:val="en-US"/>
        </w:rPr>
        <w:t xml:space="preserve">s </w:t>
      </w:r>
      <w:r w:rsidR="00387EA2">
        <w:rPr>
          <w:lang w:val="en-US"/>
        </w:rPr>
        <w:t>two</w:t>
      </w:r>
      <w:r w:rsidR="00E72553">
        <w:rPr>
          <w:lang w:val="en-US"/>
        </w:rPr>
        <w:t xml:space="preserve"> northern</w:t>
      </w:r>
      <w:r w:rsidR="00387EA2">
        <w:rPr>
          <w:lang w:val="en-US"/>
        </w:rPr>
        <w:t xml:space="preserve"> </w:t>
      </w:r>
      <w:proofErr w:type="gramStart"/>
      <w:r w:rsidR="00B127AD">
        <w:rPr>
          <w:lang w:val="en-US"/>
        </w:rPr>
        <w:t>Anglo</w:t>
      </w:r>
      <w:r w:rsidR="00FB005D">
        <w:rPr>
          <w:lang w:val="en-US"/>
        </w:rPr>
        <w:t xml:space="preserve"> American</w:t>
      </w:r>
      <w:proofErr w:type="gramEnd"/>
      <w:r w:rsidR="00B127AD">
        <w:rPr>
          <w:lang w:val="en-US"/>
        </w:rPr>
        <w:t xml:space="preserve"> neighbors</w:t>
      </w:r>
      <w:r w:rsidR="00BE5122">
        <w:rPr>
          <w:lang w:val="en-US"/>
        </w:rPr>
        <w:t>,</w:t>
      </w:r>
      <w:r w:rsidR="00B127AD">
        <w:rPr>
          <w:lang w:val="en-US"/>
        </w:rPr>
        <w:t xml:space="preserve"> </w:t>
      </w:r>
      <w:r w:rsidR="00B56992">
        <w:rPr>
          <w:lang w:val="en-US"/>
        </w:rPr>
        <w:t xml:space="preserve">mainly through </w:t>
      </w:r>
      <w:r w:rsidR="00AF4363">
        <w:rPr>
          <w:lang w:val="en-US"/>
        </w:rPr>
        <w:t xml:space="preserve">migration and </w:t>
      </w:r>
      <w:r w:rsidR="00B56992">
        <w:rPr>
          <w:lang w:val="en-US"/>
        </w:rPr>
        <w:t>economic agreements</w:t>
      </w:r>
      <w:r w:rsidR="00BE5122">
        <w:rPr>
          <w:lang w:val="en-US"/>
        </w:rPr>
        <w:t>,</w:t>
      </w:r>
      <w:r w:rsidR="00B56992">
        <w:rPr>
          <w:lang w:val="en-US"/>
        </w:rPr>
        <w:t xml:space="preserve"> </w:t>
      </w:r>
      <w:r w:rsidR="009712D6">
        <w:rPr>
          <w:lang w:val="en-US"/>
        </w:rPr>
        <w:t xml:space="preserve">have come to </w:t>
      </w:r>
      <w:r w:rsidR="00E00D1A">
        <w:rPr>
          <w:lang w:val="en-US"/>
        </w:rPr>
        <w:t xml:space="preserve">shape the </w:t>
      </w:r>
      <w:r w:rsidR="00B07BA3">
        <w:rPr>
          <w:lang w:val="en-US"/>
        </w:rPr>
        <w:t xml:space="preserve">country </w:t>
      </w:r>
      <w:r w:rsidR="005C31E9">
        <w:rPr>
          <w:lang w:val="en-US"/>
        </w:rPr>
        <w:t>characteristics</w:t>
      </w:r>
      <w:r w:rsidR="004A4102">
        <w:rPr>
          <w:lang w:val="en-US"/>
        </w:rPr>
        <w:t xml:space="preserve"> that distinguish Mexico</w:t>
      </w:r>
      <w:r w:rsidR="00B07BA3">
        <w:rPr>
          <w:lang w:val="en-US"/>
        </w:rPr>
        <w:t xml:space="preserve"> within </w:t>
      </w:r>
      <w:r w:rsidR="00EC02C3">
        <w:rPr>
          <w:lang w:val="en-US"/>
        </w:rPr>
        <w:t>both regions</w:t>
      </w:r>
      <w:r w:rsidR="004A4102">
        <w:rPr>
          <w:lang w:val="en-US"/>
        </w:rPr>
        <w:t>.</w:t>
      </w:r>
      <w:r w:rsidR="00EB7BB6" w:rsidRPr="00EB7BB6">
        <w:rPr>
          <w:lang w:val="en-US"/>
        </w:rPr>
        <w:t xml:space="preserve"> </w:t>
      </w:r>
    </w:p>
    <w:p w14:paraId="7ED5E1F2" w14:textId="77777777" w:rsidR="00BD648E" w:rsidRDefault="00BD648E" w:rsidP="00EB7BB6">
      <w:pPr>
        <w:rPr>
          <w:lang w:val="en-US"/>
        </w:rPr>
      </w:pPr>
    </w:p>
    <w:p w14:paraId="40C18C28" w14:textId="6D921F83" w:rsidR="007A2454" w:rsidRPr="00473146" w:rsidRDefault="003642C1" w:rsidP="00EB7BB6">
      <w:pPr>
        <w:rPr>
          <w:lang w:val="en-US"/>
        </w:rPr>
      </w:pPr>
      <w:r>
        <w:rPr>
          <w:lang w:val="en-US"/>
        </w:rPr>
        <w:t>T</w:t>
      </w:r>
      <w:r w:rsidR="007A2454" w:rsidRPr="007A2454">
        <w:rPr>
          <w:lang w:val="en-US"/>
        </w:rPr>
        <w:t>he issue of misattribution of responsibility</w:t>
      </w:r>
      <w:r w:rsidR="00635117">
        <w:rPr>
          <w:lang w:val="en-US"/>
        </w:rPr>
        <w:t xml:space="preserve"> </w:t>
      </w:r>
      <w:r w:rsidR="007A2454" w:rsidRPr="007A2454">
        <w:rPr>
          <w:lang w:val="en-US"/>
        </w:rPr>
        <w:t>occurs when voters attribute economic conditions to incumbents even when those conditions are determined by factors beyond governmental control</w:t>
      </w:r>
      <w:r w:rsidR="00635117">
        <w:rPr>
          <w:lang w:val="en-US"/>
        </w:rPr>
        <w:t xml:space="preserve"> </w:t>
      </w:r>
      <w:r w:rsidR="00B41856">
        <w:rPr>
          <w:lang w:val="en-US"/>
        </w:rPr>
        <w:t>[</w:t>
      </w:r>
      <w:r w:rsidR="00D01EEC" w:rsidRPr="00B41856">
        <w:rPr>
          <w:highlight w:val="magenta"/>
          <w:lang w:val="en-US"/>
        </w:rPr>
        <w:t>@CampelloZucco_CommodityPrices2022</w:t>
      </w:r>
      <w:r w:rsidR="00B41856">
        <w:rPr>
          <w:lang w:val="en-US"/>
        </w:rPr>
        <w:t>]</w:t>
      </w:r>
      <w:r w:rsidR="007A2454" w:rsidRPr="007A2454">
        <w:rPr>
          <w:lang w:val="en-US"/>
        </w:rPr>
        <w:t>.</w:t>
      </w:r>
      <w:r w:rsidR="00635117">
        <w:rPr>
          <w:lang w:val="en-US"/>
        </w:rPr>
        <w:t xml:space="preserve"> </w:t>
      </w:r>
      <w:r w:rsidR="00986B76" w:rsidRPr="00986B76">
        <w:rPr>
          <w:highlight w:val="magenta"/>
          <w:lang w:val="en-US"/>
        </w:rPr>
        <w:t>@camzuvol_2020</w:t>
      </w:r>
      <w:r w:rsidR="00725EF2" w:rsidRPr="00725EF2">
        <w:rPr>
          <w:lang w:val="en-US"/>
        </w:rPr>
        <w:t xml:space="preserve"> claim that exposure to exogenous shocks, strongly associated with dependence on commodities and variations in trade, is a fundamental structural difference between developed and developing economies. They argue that countries highly exposed to volatile exogenous conditions face more challenges in identifying the competence of governments based on the economy.</w:t>
      </w:r>
    </w:p>
    <w:p w14:paraId="6F927872" w14:textId="77777777" w:rsidR="007A2454" w:rsidRDefault="007A2454" w:rsidP="00EB7BB6">
      <w:pPr>
        <w:rPr>
          <w:lang w:val="en-US"/>
        </w:rPr>
      </w:pPr>
    </w:p>
    <w:p w14:paraId="1DA64E57" w14:textId="33D4E057" w:rsidR="009B31F8" w:rsidRDefault="0030069C" w:rsidP="00EB7BB6">
      <w:pPr>
        <w:rPr>
          <w:lang w:val="en-US"/>
        </w:rPr>
      </w:pPr>
      <w:r>
        <w:rPr>
          <w:lang w:val="en-US"/>
        </w:rPr>
        <w:t>F</w:t>
      </w:r>
      <w:r w:rsidR="00EB7BB6" w:rsidRPr="003117DA">
        <w:rPr>
          <w:lang w:val="en-US"/>
        </w:rPr>
        <w:t>or a large subset of L</w:t>
      </w:r>
      <w:r w:rsidR="00EB7BB6">
        <w:rPr>
          <w:lang w:val="en-US"/>
        </w:rPr>
        <w:t xml:space="preserve">atin American countries, presidential popularity and reelection prospects strongly depend on factors exogenous to presidents’ policy choices such as commodity prices and international interest rates. </w:t>
      </w:r>
      <w:r>
        <w:rPr>
          <w:lang w:val="en-US"/>
        </w:rPr>
        <w:t xml:space="preserve">As </w:t>
      </w:r>
      <w:r w:rsidRPr="002C589D">
        <w:rPr>
          <w:highlight w:val="magenta"/>
          <w:lang w:val="en-US"/>
        </w:rPr>
        <w:t>@</w:t>
      </w:r>
      <w:r w:rsidR="002C589D" w:rsidRPr="002C589D">
        <w:rPr>
          <w:highlight w:val="magenta"/>
          <w:lang w:val="en-US"/>
        </w:rPr>
        <w:t>CampelloZucco_2016</w:t>
      </w:r>
      <w:r>
        <w:rPr>
          <w:lang w:val="en-US"/>
        </w:rPr>
        <w:t xml:space="preserve"> </w:t>
      </w:r>
      <w:r w:rsidR="00B515E5">
        <w:rPr>
          <w:lang w:val="en-US"/>
        </w:rPr>
        <w:t>show, Low</w:t>
      </w:r>
      <w:r w:rsidR="00C36DD2">
        <w:rPr>
          <w:lang w:val="en-US"/>
        </w:rPr>
        <w:t xml:space="preserve"> Savings Commodity Exporting (LSCE) </w:t>
      </w:r>
      <w:r w:rsidR="00465C0B">
        <w:rPr>
          <w:lang w:val="en-US"/>
        </w:rPr>
        <w:t xml:space="preserve">countries </w:t>
      </w:r>
      <w:r w:rsidR="00295AB7">
        <w:rPr>
          <w:lang w:val="en-US"/>
        </w:rPr>
        <w:t xml:space="preserve">particularly </w:t>
      </w:r>
      <w:r w:rsidR="00465C0B">
        <w:rPr>
          <w:lang w:val="en-US"/>
        </w:rPr>
        <w:t>depend</w:t>
      </w:r>
      <w:r w:rsidR="00295AB7">
        <w:rPr>
          <w:lang w:val="en-US"/>
        </w:rPr>
        <w:t>ent</w:t>
      </w:r>
      <w:r w:rsidR="00465C0B">
        <w:rPr>
          <w:lang w:val="en-US"/>
        </w:rPr>
        <w:t xml:space="preserve"> on </w:t>
      </w:r>
      <w:r w:rsidR="00295AB7">
        <w:rPr>
          <w:lang w:val="en-US"/>
        </w:rPr>
        <w:t xml:space="preserve">oil prices and international interest rates </w:t>
      </w:r>
      <w:r w:rsidR="00175047">
        <w:rPr>
          <w:lang w:val="en-US"/>
        </w:rPr>
        <w:t xml:space="preserve">evaluate </w:t>
      </w:r>
      <w:r w:rsidR="00175047">
        <w:rPr>
          <w:lang w:val="en-US"/>
        </w:rPr>
        <w:lastRenderedPageBreak/>
        <w:t>presidents based on the positive or negative state of the economy</w:t>
      </w:r>
      <w:r w:rsidR="00D30A9C">
        <w:rPr>
          <w:lang w:val="en-US"/>
        </w:rPr>
        <w:t>,</w:t>
      </w:r>
      <w:r w:rsidR="005E65D1">
        <w:rPr>
          <w:lang w:val="en-US"/>
        </w:rPr>
        <w:t xml:space="preserve"> regardless of </w:t>
      </w:r>
      <w:r w:rsidR="00A5494B">
        <w:rPr>
          <w:lang w:val="en-US"/>
        </w:rPr>
        <w:t>their direct responsibility</w:t>
      </w:r>
      <w:r w:rsidR="00F4718A">
        <w:rPr>
          <w:lang w:val="en-US"/>
        </w:rPr>
        <w:t>.</w:t>
      </w:r>
      <w:r w:rsidR="002D4BDD" w:rsidRPr="002D4BDD">
        <w:rPr>
          <w:lang w:val="en-US"/>
        </w:rPr>
        <w:t xml:space="preserve"> </w:t>
      </w:r>
      <w:r w:rsidR="002D4BDD">
        <w:rPr>
          <w:lang w:val="en-US"/>
        </w:rPr>
        <w:t xml:space="preserve">Authors </w:t>
      </w:r>
      <w:r w:rsidR="005C413F">
        <w:rPr>
          <w:lang w:val="en-US"/>
        </w:rPr>
        <w:t>study presidential success and popularity with the introduction of</w:t>
      </w:r>
      <w:r w:rsidR="002D4BDD">
        <w:rPr>
          <w:lang w:val="en-US"/>
        </w:rPr>
        <w:t xml:space="preserve"> the</w:t>
      </w:r>
      <w:r w:rsidR="00A926D7">
        <w:rPr>
          <w:lang w:val="en-US"/>
        </w:rPr>
        <w:t>ir</w:t>
      </w:r>
      <w:r w:rsidR="002D4BDD">
        <w:rPr>
          <w:lang w:val="en-US"/>
        </w:rPr>
        <w:t xml:space="preserve"> Good Economic Times (GET) index</w:t>
      </w:r>
      <w:proofErr w:type="gramStart"/>
      <w:r w:rsidR="002D4BDD" w:rsidRPr="00F351EA">
        <w:rPr>
          <w:lang w:val="en-US"/>
        </w:rPr>
        <w:t>^[</w:t>
      </w:r>
      <w:proofErr w:type="gramEnd"/>
      <w:r w:rsidR="002D4BDD" w:rsidRPr="00326C2C">
        <w:rPr>
          <w:highlight w:val="magenta"/>
          <w:lang w:val="en-US"/>
        </w:rPr>
        <w:t>The GET index, devised to gauge the economic environment faced by Latin American countries, combines monthly values of US 10 Year Treasury Constant Maturity Rate and UNCTAD’s "Free Market Commodity Prices" Index. Through principal components decomposition, it condenses these variables into a one-dimensional indicator on a unitless normalized scale. Higher GET values signify favorable economic conditions, while lower values indicate challenging times for the region. The authors justify this simplified approach for its ability to capture variations in international conditions, considering both commodity prices and US interest rates. The index is employed in the study to examine its impact on domestic economic indicators and presidential popularity, particularly distinguishing</w:t>
      </w:r>
      <w:r w:rsidR="002D4BDD">
        <w:rPr>
          <w:highlight w:val="magenta"/>
          <w:lang w:val="en-US"/>
        </w:rPr>
        <w:t xml:space="preserve"> within 18 Latin American countries, 10 in the LSCE sample and 8 in the comparison group</w:t>
      </w:r>
      <w:r w:rsidR="002D4BDD" w:rsidRPr="00326C2C">
        <w:rPr>
          <w:highlight w:val="magenta"/>
          <w:lang w:val="en-US"/>
        </w:rPr>
        <w:t>.</w:t>
      </w:r>
      <w:r w:rsidR="002D4BDD" w:rsidRPr="00F351EA">
        <w:rPr>
          <w:lang w:val="en-US"/>
        </w:rPr>
        <w:t>]</w:t>
      </w:r>
      <w:r w:rsidR="00530242">
        <w:rPr>
          <w:lang w:val="en-US"/>
        </w:rPr>
        <w:t xml:space="preserve"> </w:t>
      </w:r>
      <w:r w:rsidR="00407433">
        <w:rPr>
          <w:lang w:val="en-US"/>
        </w:rPr>
        <w:t xml:space="preserve">that </w:t>
      </w:r>
      <w:r w:rsidR="00965E68">
        <w:rPr>
          <w:lang w:val="en-US"/>
        </w:rPr>
        <w:t xml:space="preserve">display </w:t>
      </w:r>
      <w:r w:rsidR="007F0FF3">
        <w:rPr>
          <w:lang w:val="en-US"/>
        </w:rPr>
        <w:t>robust</w:t>
      </w:r>
      <w:r w:rsidR="00A926D7" w:rsidRPr="00A926D7">
        <w:rPr>
          <w:lang w:val="en-US"/>
        </w:rPr>
        <w:t xml:space="preserve"> </w:t>
      </w:r>
      <w:r w:rsidR="00965E68">
        <w:rPr>
          <w:lang w:val="en-US"/>
        </w:rPr>
        <w:t xml:space="preserve">significant </w:t>
      </w:r>
      <w:r w:rsidR="00A926D7" w:rsidRPr="00A926D7">
        <w:rPr>
          <w:lang w:val="en-US"/>
        </w:rPr>
        <w:t>effect</w:t>
      </w:r>
      <w:r w:rsidR="00965E68">
        <w:rPr>
          <w:lang w:val="en-US"/>
        </w:rPr>
        <w:t>s</w:t>
      </w:r>
      <w:r w:rsidR="00A926D7" w:rsidRPr="00A926D7">
        <w:rPr>
          <w:lang w:val="en-US"/>
        </w:rPr>
        <w:t xml:space="preserve"> on presidential reelection probabilities in LSCE countries, particularly during favorable international economic conditions.</w:t>
      </w:r>
      <w:r w:rsidR="00067A8E">
        <w:rPr>
          <w:lang w:val="en-US"/>
        </w:rPr>
        <w:t xml:space="preserve"> </w:t>
      </w:r>
    </w:p>
    <w:p w14:paraId="046F027F" w14:textId="77777777" w:rsidR="00213246" w:rsidRPr="00213246" w:rsidRDefault="00213246" w:rsidP="00EB7BB6">
      <w:pPr>
        <w:rPr>
          <w:lang w:val="en-US"/>
        </w:rPr>
      </w:pPr>
    </w:p>
    <w:p w14:paraId="6CC048F2" w14:textId="625CBB9B" w:rsidR="00EB7BB6" w:rsidRDefault="008F47A7" w:rsidP="00EB7BB6">
      <w:pPr>
        <w:rPr>
          <w:lang w:val="en-US"/>
        </w:rPr>
      </w:pPr>
      <w:r w:rsidRPr="00473146">
        <w:rPr>
          <w:lang w:val="en-US"/>
        </w:rPr>
        <w:t xml:space="preserve">However, the magnitude of exogenous factors varies significantly among </w:t>
      </w:r>
      <w:r>
        <w:rPr>
          <w:lang w:val="en-US"/>
        </w:rPr>
        <w:t xml:space="preserve">countries and </w:t>
      </w:r>
      <w:r w:rsidRPr="00473146">
        <w:rPr>
          <w:lang w:val="en-US"/>
        </w:rPr>
        <w:t>regions</w:t>
      </w:r>
      <w:r>
        <w:rPr>
          <w:lang w:val="en-US"/>
        </w:rPr>
        <w:t xml:space="preserve">. </w:t>
      </w:r>
      <w:r w:rsidR="00847E0E">
        <w:rPr>
          <w:lang w:val="en-US"/>
        </w:rPr>
        <w:t>W</w:t>
      </w:r>
      <w:r w:rsidR="00A8227E">
        <w:rPr>
          <w:lang w:val="en-US"/>
        </w:rPr>
        <w:t xml:space="preserve">hen </w:t>
      </w:r>
      <w:r w:rsidR="00333C53" w:rsidRPr="002C589D">
        <w:rPr>
          <w:highlight w:val="magenta"/>
          <w:lang w:val="en-US"/>
        </w:rPr>
        <w:t>@CampelloZucco_2016</w:t>
      </w:r>
      <w:r w:rsidR="00333C53">
        <w:rPr>
          <w:lang w:val="en-US"/>
        </w:rPr>
        <w:t xml:space="preserve"> evaluate</w:t>
      </w:r>
      <w:r w:rsidR="00727D21">
        <w:rPr>
          <w:lang w:val="en-US"/>
        </w:rPr>
        <w:t xml:space="preserve"> the </w:t>
      </w:r>
      <w:r w:rsidR="00232337">
        <w:rPr>
          <w:lang w:val="en-US"/>
        </w:rPr>
        <w:t xml:space="preserve">predictive power </w:t>
      </w:r>
      <w:r w:rsidR="00727D21">
        <w:rPr>
          <w:lang w:val="en-US"/>
        </w:rPr>
        <w:t xml:space="preserve">of </w:t>
      </w:r>
      <w:r w:rsidR="002D4BDD">
        <w:rPr>
          <w:lang w:val="en-US"/>
        </w:rPr>
        <w:t xml:space="preserve">the GET index </w:t>
      </w:r>
      <w:r w:rsidR="00232337" w:rsidRPr="00232337">
        <w:rPr>
          <w:lang w:val="en-US"/>
        </w:rPr>
        <w:t>results show a strong covariance between GET and presidential popularity in Brazil (R² = 0.63) but a weak one in Mexico (R² = 0.12)</w:t>
      </w:r>
      <w:r w:rsidR="00727D21">
        <w:rPr>
          <w:lang w:val="en-US"/>
        </w:rPr>
        <w:t>.</w:t>
      </w:r>
      <w:r w:rsidR="00D71E30">
        <w:rPr>
          <w:lang w:val="en-US"/>
        </w:rPr>
        <w:t xml:space="preserve"> </w:t>
      </w:r>
      <w:r w:rsidR="001A5D21">
        <w:rPr>
          <w:lang w:val="en-US"/>
        </w:rPr>
        <w:t>Moreover, w</w:t>
      </w:r>
      <w:r w:rsidR="001A5D21" w:rsidRPr="001A5D21">
        <w:rPr>
          <w:lang w:val="en-US"/>
        </w:rPr>
        <w:t>hen comparing a model with only the GET index to a model with several domestic economic variables, the GET model performs almost as well in predicting popularity in Brazil</w:t>
      </w:r>
      <w:r w:rsidR="0039410E">
        <w:rPr>
          <w:lang w:val="en-US"/>
        </w:rPr>
        <w:t xml:space="preserve"> but a null effect f</w:t>
      </w:r>
      <w:r w:rsidR="00ED6185">
        <w:rPr>
          <w:lang w:val="en-US"/>
        </w:rPr>
        <w:t>or Mexico</w:t>
      </w:r>
      <w:r w:rsidR="001A5D21" w:rsidRPr="001A5D21">
        <w:rPr>
          <w:lang w:val="en-US"/>
        </w:rPr>
        <w:t xml:space="preserve">. </w:t>
      </w:r>
      <w:r w:rsidR="00932365">
        <w:rPr>
          <w:lang w:val="en-US"/>
        </w:rPr>
        <w:t xml:space="preserve">Despite this, authors </w:t>
      </w:r>
      <w:r w:rsidR="00932365" w:rsidRPr="0092679A">
        <w:rPr>
          <w:lang w:val="en-US"/>
        </w:rPr>
        <w:t>acknowledge the challenges in predicting presidential elections, emphasizing that most empirical work on economic voting is better at predicting popularity than actual voting behavior</w:t>
      </w:r>
      <w:r w:rsidR="00932365">
        <w:rPr>
          <w:lang w:val="en-US"/>
        </w:rPr>
        <w:t>.</w:t>
      </w:r>
    </w:p>
    <w:p w14:paraId="277E74A1" w14:textId="77777777" w:rsidR="00BD648E" w:rsidRDefault="00BD648E" w:rsidP="00EB7BB6">
      <w:pPr>
        <w:rPr>
          <w:lang w:val="en-US"/>
        </w:rPr>
      </w:pPr>
    </w:p>
    <w:p w14:paraId="2FEAD45C" w14:textId="6C277F2D" w:rsidR="002F73CD" w:rsidRDefault="002D35F6" w:rsidP="00EB7BB6">
      <w:pPr>
        <w:rPr>
          <w:lang w:val="en-US"/>
        </w:rPr>
      </w:pPr>
      <w:r>
        <w:rPr>
          <w:lang w:val="en-US"/>
        </w:rPr>
        <w:t xml:space="preserve">This observation is particularly compelling, it signals that other factors beyond international interest rates </w:t>
      </w:r>
      <w:r w:rsidR="00A5246D">
        <w:rPr>
          <w:lang w:val="en-US"/>
        </w:rPr>
        <w:t xml:space="preserve">and commodity </w:t>
      </w:r>
      <w:r w:rsidR="00517A94">
        <w:rPr>
          <w:lang w:val="en-US"/>
        </w:rPr>
        <w:t xml:space="preserve">prices </w:t>
      </w:r>
      <w:r w:rsidR="0030411A">
        <w:rPr>
          <w:lang w:val="en-US"/>
        </w:rPr>
        <w:t>influence</w:t>
      </w:r>
      <w:r w:rsidR="00A5246D">
        <w:rPr>
          <w:lang w:val="en-US"/>
        </w:rPr>
        <w:t xml:space="preserve"> presidential popularity in Mexico.</w:t>
      </w:r>
      <w:r w:rsidR="00B51C93">
        <w:rPr>
          <w:lang w:val="en-US"/>
        </w:rPr>
        <w:t xml:space="preserve"> </w:t>
      </w:r>
      <w:r w:rsidR="009B6B28">
        <w:rPr>
          <w:lang w:val="en-US"/>
        </w:rPr>
        <w:t xml:space="preserve">I </w:t>
      </w:r>
      <w:r w:rsidR="00B51C93">
        <w:rPr>
          <w:lang w:val="en-US"/>
        </w:rPr>
        <w:t xml:space="preserve">contend that </w:t>
      </w:r>
      <w:r w:rsidR="009B6B28">
        <w:rPr>
          <w:lang w:val="en-US"/>
        </w:rPr>
        <w:t xml:space="preserve">country characteristics resulting from </w:t>
      </w:r>
      <w:r w:rsidR="000F5BA0">
        <w:rPr>
          <w:lang w:val="en-US"/>
        </w:rPr>
        <w:t xml:space="preserve">long-term </w:t>
      </w:r>
      <w:r w:rsidR="001A4FD8">
        <w:rPr>
          <w:lang w:val="en-US"/>
        </w:rPr>
        <w:t>migration</w:t>
      </w:r>
      <w:r w:rsidR="00CE6F9D">
        <w:rPr>
          <w:lang w:val="en-US"/>
        </w:rPr>
        <w:t xml:space="preserve"> and economic evolution </w:t>
      </w:r>
      <w:r w:rsidR="0013747E">
        <w:rPr>
          <w:lang w:val="en-US"/>
        </w:rPr>
        <w:t xml:space="preserve">make </w:t>
      </w:r>
      <w:r w:rsidR="00277244">
        <w:rPr>
          <w:lang w:val="en-US"/>
        </w:rPr>
        <w:t xml:space="preserve">Mexico </w:t>
      </w:r>
      <w:r w:rsidR="0013747E">
        <w:rPr>
          <w:lang w:val="en-US"/>
        </w:rPr>
        <w:t>less vulnerable to interest rate shocks and commodity prices but</w:t>
      </w:r>
      <w:r w:rsidR="007417DA">
        <w:rPr>
          <w:lang w:val="en-US"/>
        </w:rPr>
        <w:t xml:space="preserve"> also to</w:t>
      </w:r>
      <w:r w:rsidR="0013747E">
        <w:rPr>
          <w:lang w:val="en-US"/>
        </w:rPr>
        <w:t xml:space="preserve"> </w:t>
      </w:r>
      <w:r w:rsidR="004307B4">
        <w:rPr>
          <w:lang w:val="en-US"/>
        </w:rPr>
        <w:t xml:space="preserve">other factors </w:t>
      </w:r>
      <w:r w:rsidR="00277244">
        <w:rPr>
          <w:lang w:val="en-US"/>
        </w:rPr>
        <w:t xml:space="preserve">that result from </w:t>
      </w:r>
      <w:r w:rsidR="00B606D0">
        <w:rPr>
          <w:lang w:val="en-US"/>
        </w:rPr>
        <w:t xml:space="preserve">exogenous shocks </w:t>
      </w:r>
      <w:r w:rsidR="00A60B25">
        <w:rPr>
          <w:lang w:val="en-US"/>
        </w:rPr>
        <w:t xml:space="preserve">rooted in </w:t>
      </w:r>
      <w:r w:rsidR="00B606D0">
        <w:rPr>
          <w:lang w:val="en-US"/>
        </w:rPr>
        <w:t xml:space="preserve">the </w:t>
      </w:r>
      <w:r w:rsidR="00A60B25">
        <w:rPr>
          <w:lang w:val="en-US"/>
        </w:rPr>
        <w:t xml:space="preserve">conditions of </w:t>
      </w:r>
      <w:r w:rsidR="00B606D0">
        <w:rPr>
          <w:lang w:val="en-US"/>
        </w:rPr>
        <w:t xml:space="preserve">the </w:t>
      </w:r>
      <w:r w:rsidR="00EA6265">
        <w:rPr>
          <w:lang w:val="en-US"/>
        </w:rPr>
        <w:t>US</w:t>
      </w:r>
      <w:r w:rsidR="005E1F05">
        <w:rPr>
          <w:lang w:val="en-US"/>
        </w:rPr>
        <w:t xml:space="preserve"> economy</w:t>
      </w:r>
      <w:r w:rsidR="003F1D2C">
        <w:rPr>
          <w:lang w:val="en-US"/>
        </w:rPr>
        <w:t xml:space="preserve">, specifically </w:t>
      </w:r>
      <w:r w:rsidR="003F1D2C" w:rsidRPr="00F609DE">
        <w:rPr>
          <w:lang w:val="en-US"/>
        </w:rPr>
        <w:t>remittance flows</w:t>
      </w:r>
      <w:r w:rsidR="003F1D2C">
        <w:rPr>
          <w:lang w:val="en-US"/>
        </w:rPr>
        <w:t xml:space="preserve"> </w:t>
      </w:r>
      <w:r w:rsidR="007871AE">
        <w:rPr>
          <w:lang w:val="en-US"/>
        </w:rPr>
        <w:t>[</w:t>
      </w:r>
      <w:r w:rsidR="00A06977" w:rsidRPr="00A06977">
        <w:rPr>
          <w:highlight w:val="magenta"/>
          <w:lang w:val="en-US"/>
        </w:rPr>
        <w:t>@germano_2013</w:t>
      </w:r>
      <w:r w:rsidR="007871AE">
        <w:rPr>
          <w:lang w:val="en-US"/>
        </w:rPr>
        <w:t xml:space="preserve">; </w:t>
      </w:r>
      <w:r w:rsidR="007871AE" w:rsidRPr="00A06977">
        <w:rPr>
          <w:highlight w:val="magenta"/>
          <w:lang w:val="en-US"/>
        </w:rPr>
        <w:t>@</w:t>
      </w:r>
      <w:r w:rsidR="007871AE">
        <w:rPr>
          <w:highlight w:val="magenta"/>
          <w:lang w:val="en-US"/>
        </w:rPr>
        <w:t>bravo</w:t>
      </w:r>
      <w:r w:rsidR="007871AE" w:rsidRPr="007871AE">
        <w:rPr>
          <w:highlight w:val="magenta"/>
          <w:lang w:val="en-US"/>
        </w:rPr>
        <w:t>_201</w:t>
      </w:r>
      <w:r w:rsidR="007871AE" w:rsidRPr="007871AE">
        <w:rPr>
          <w:highlight w:val="magenta"/>
          <w:lang w:val="en-US"/>
        </w:rPr>
        <w:t>2</w:t>
      </w:r>
      <w:r w:rsidR="007871AE">
        <w:rPr>
          <w:lang w:val="en-US"/>
        </w:rPr>
        <w:t>]</w:t>
      </w:r>
      <w:r w:rsidR="00A06977">
        <w:rPr>
          <w:lang w:val="en-US"/>
        </w:rPr>
        <w:t xml:space="preserve"> </w:t>
      </w:r>
      <w:r w:rsidR="003F1D2C">
        <w:rPr>
          <w:lang w:val="en-US"/>
        </w:rPr>
        <w:t>and strong employment in the construction sector</w:t>
      </w:r>
      <w:r w:rsidR="00A06977">
        <w:rPr>
          <w:lang w:val="en-US"/>
        </w:rPr>
        <w:t xml:space="preserve"> </w:t>
      </w:r>
      <w:r w:rsidR="007871AE">
        <w:rPr>
          <w:lang w:val="en-US"/>
        </w:rPr>
        <w:t>[</w:t>
      </w:r>
      <w:r w:rsidR="00A06977" w:rsidRPr="008529B9">
        <w:rPr>
          <w:highlight w:val="magenta"/>
          <w:lang w:val="en-US"/>
        </w:rPr>
        <w:t>@</w:t>
      </w:r>
      <w:r w:rsidR="00A06977">
        <w:rPr>
          <w:highlight w:val="magenta"/>
          <w:lang w:val="en-US"/>
        </w:rPr>
        <w:t>df_canas</w:t>
      </w:r>
      <w:r w:rsidR="00A06977" w:rsidRPr="008529B9">
        <w:rPr>
          <w:highlight w:val="magenta"/>
          <w:lang w:val="en-US"/>
        </w:rPr>
        <w:t>_202</w:t>
      </w:r>
      <w:r w:rsidR="00A06977" w:rsidRPr="00F855B1">
        <w:rPr>
          <w:highlight w:val="magenta"/>
          <w:lang w:val="en-US"/>
        </w:rPr>
        <w:t>3</w:t>
      </w:r>
      <w:r w:rsidR="007871AE">
        <w:rPr>
          <w:lang w:val="en-US"/>
        </w:rPr>
        <w:t>]</w:t>
      </w:r>
      <w:r w:rsidR="00A60B25">
        <w:rPr>
          <w:lang w:val="en-US"/>
        </w:rPr>
        <w:t>.</w:t>
      </w:r>
    </w:p>
    <w:p w14:paraId="3A7C38EC" w14:textId="77777777" w:rsidR="00BD648E" w:rsidRDefault="00BD648E" w:rsidP="00EB7BB6">
      <w:pPr>
        <w:rPr>
          <w:lang w:val="en-US"/>
        </w:rPr>
      </w:pPr>
    </w:p>
    <w:p w14:paraId="5587CC59" w14:textId="2A899DAF" w:rsidR="000D2B2D" w:rsidRPr="00CC3F62" w:rsidRDefault="003056D2" w:rsidP="00EB7BB6">
      <w:pPr>
        <w:rPr>
          <w:lang w:val="en-US"/>
        </w:rPr>
      </w:pPr>
      <w:r>
        <w:rPr>
          <w:lang w:val="en-US"/>
        </w:rPr>
        <w:t xml:space="preserve">The human trend of </w:t>
      </w:r>
      <w:r w:rsidR="00335AC2">
        <w:rPr>
          <w:lang w:val="en-US"/>
        </w:rPr>
        <w:t>m</w:t>
      </w:r>
      <w:r w:rsidR="00E536A4">
        <w:rPr>
          <w:lang w:val="en-US"/>
        </w:rPr>
        <w:t xml:space="preserve">igration </w:t>
      </w:r>
      <w:r>
        <w:rPr>
          <w:lang w:val="en-US"/>
        </w:rPr>
        <w:t xml:space="preserve">has had </w:t>
      </w:r>
      <w:r w:rsidR="00C5565B">
        <w:rPr>
          <w:lang w:val="en-US"/>
        </w:rPr>
        <w:t xml:space="preserve">considerable </w:t>
      </w:r>
      <w:r w:rsidR="00E536A4">
        <w:rPr>
          <w:lang w:val="en-US"/>
        </w:rPr>
        <w:t xml:space="preserve">effects </w:t>
      </w:r>
      <w:r w:rsidR="00C5565B">
        <w:rPr>
          <w:lang w:val="en-US"/>
        </w:rPr>
        <w:t>in Mexico.</w:t>
      </w:r>
      <w:r w:rsidR="00210363">
        <w:rPr>
          <w:lang w:val="en-US"/>
        </w:rPr>
        <w:t xml:space="preserve"> </w:t>
      </w:r>
      <w:r w:rsidR="00D13524">
        <w:rPr>
          <w:lang w:val="en-US"/>
        </w:rPr>
        <w:t>Migration</w:t>
      </w:r>
      <w:r w:rsidR="000116AD">
        <w:rPr>
          <w:lang w:val="en-US"/>
        </w:rPr>
        <w:t xml:space="preserve"> </w:t>
      </w:r>
      <w:r w:rsidR="00AB74A9">
        <w:rPr>
          <w:lang w:val="en-US"/>
        </w:rPr>
        <w:t>originates</w:t>
      </w:r>
      <w:r w:rsidR="000116AD">
        <w:rPr>
          <w:lang w:val="en-US"/>
        </w:rPr>
        <w:t xml:space="preserve"> </w:t>
      </w:r>
      <w:r w:rsidR="00210363">
        <w:rPr>
          <w:lang w:val="en-US"/>
        </w:rPr>
        <w:t xml:space="preserve">from multiple sources of </w:t>
      </w:r>
      <w:r w:rsidR="007627E4">
        <w:rPr>
          <w:lang w:val="en-US"/>
        </w:rPr>
        <w:t>needs,</w:t>
      </w:r>
      <w:r w:rsidR="007546CE">
        <w:rPr>
          <w:lang w:val="en-US"/>
        </w:rPr>
        <w:t xml:space="preserve"> yet they </w:t>
      </w:r>
      <w:r w:rsidR="008361AB">
        <w:rPr>
          <w:lang w:val="en-US"/>
        </w:rPr>
        <w:t>all</w:t>
      </w:r>
      <w:r w:rsidR="00210363">
        <w:rPr>
          <w:lang w:val="en-US"/>
        </w:rPr>
        <w:t xml:space="preserve"> ultimately </w:t>
      </w:r>
      <w:r w:rsidR="00936186">
        <w:rPr>
          <w:lang w:val="en-US"/>
        </w:rPr>
        <w:t>converg</w:t>
      </w:r>
      <w:r w:rsidR="000116AD">
        <w:rPr>
          <w:lang w:val="en-US"/>
        </w:rPr>
        <w:t>e</w:t>
      </w:r>
      <w:r w:rsidR="00936186">
        <w:rPr>
          <w:lang w:val="en-US"/>
        </w:rPr>
        <w:t xml:space="preserve"> with the </w:t>
      </w:r>
      <w:r w:rsidR="00333985">
        <w:rPr>
          <w:lang w:val="en-US"/>
        </w:rPr>
        <w:t xml:space="preserve">desire </w:t>
      </w:r>
      <w:r w:rsidR="006409AB">
        <w:rPr>
          <w:lang w:val="en-US"/>
        </w:rPr>
        <w:t>for</w:t>
      </w:r>
      <w:r w:rsidR="00333985">
        <w:rPr>
          <w:lang w:val="en-US"/>
        </w:rPr>
        <w:t xml:space="preserve"> better living conditions. M</w:t>
      </w:r>
      <w:r w:rsidR="009E0889">
        <w:rPr>
          <w:lang w:val="en-US"/>
        </w:rPr>
        <w:t>exican m</w:t>
      </w:r>
      <w:r w:rsidR="00C5565B">
        <w:rPr>
          <w:lang w:val="en-US"/>
        </w:rPr>
        <w:t xml:space="preserve">igrant workers </w:t>
      </w:r>
      <w:r w:rsidR="00333985">
        <w:rPr>
          <w:lang w:val="en-US"/>
        </w:rPr>
        <w:t xml:space="preserve">have been historically </w:t>
      </w:r>
      <w:r w:rsidR="00C5565B">
        <w:rPr>
          <w:lang w:val="en-US"/>
        </w:rPr>
        <w:t xml:space="preserve">employed </w:t>
      </w:r>
      <w:r w:rsidR="00A5247F">
        <w:rPr>
          <w:lang w:val="en-US"/>
        </w:rPr>
        <w:t>in the US</w:t>
      </w:r>
      <w:r w:rsidR="00325A82" w:rsidRPr="00325A82">
        <w:rPr>
          <w:lang w:val="en-US"/>
        </w:rPr>
        <w:t xml:space="preserve">, </w:t>
      </w:r>
      <w:r w:rsidR="00A5247F">
        <w:rPr>
          <w:lang w:val="en-US"/>
        </w:rPr>
        <w:t xml:space="preserve">during the </w:t>
      </w:r>
      <w:r w:rsidR="00325A82" w:rsidRPr="00325A82">
        <w:rPr>
          <w:lang w:val="en-US"/>
        </w:rPr>
        <w:t>2000</w:t>
      </w:r>
      <w:r w:rsidR="00A5247F">
        <w:rPr>
          <w:lang w:val="en-US"/>
        </w:rPr>
        <w:t>’s</w:t>
      </w:r>
      <w:r w:rsidR="00325A82" w:rsidRPr="00325A82">
        <w:rPr>
          <w:lang w:val="en-US"/>
        </w:rPr>
        <w:t xml:space="preserve"> they worked mainly in the Commerce (23.6%) and Manufacturing (22.5%) sectors</w:t>
      </w:r>
      <w:r w:rsidR="00A7074A">
        <w:rPr>
          <w:lang w:val="en-US"/>
        </w:rPr>
        <w:t xml:space="preserve">, while more recently </w:t>
      </w:r>
      <w:r w:rsidR="003642AA" w:rsidRPr="003642AA">
        <w:rPr>
          <w:lang w:val="en-US"/>
        </w:rPr>
        <w:t>they are concentrated in the Construction (19.5%) and Hospitality and Leisure (13.8%) sectors</w:t>
      </w:r>
      <w:r w:rsidR="008529B9">
        <w:rPr>
          <w:lang w:val="en-US"/>
        </w:rPr>
        <w:t xml:space="preserve"> [</w:t>
      </w:r>
      <w:r w:rsidR="008529B9" w:rsidRPr="008529B9">
        <w:rPr>
          <w:highlight w:val="magenta"/>
          <w:lang w:val="en-US"/>
        </w:rPr>
        <w:t>@</w:t>
      </w:r>
      <w:r w:rsidR="00AD76D5">
        <w:rPr>
          <w:highlight w:val="magenta"/>
          <w:lang w:val="en-US"/>
        </w:rPr>
        <w:t>df_</w:t>
      </w:r>
      <w:r w:rsidR="00E82F24">
        <w:rPr>
          <w:highlight w:val="magenta"/>
          <w:lang w:val="en-US"/>
        </w:rPr>
        <w:t>canas</w:t>
      </w:r>
      <w:r w:rsidR="008529B9" w:rsidRPr="008529B9">
        <w:rPr>
          <w:highlight w:val="magenta"/>
          <w:lang w:val="en-US"/>
        </w:rPr>
        <w:t>_202</w:t>
      </w:r>
      <w:r w:rsidR="00F855B1" w:rsidRPr="00F855B1">
        <w:rPr>
          <w:highlight w:val="magenta"/>
          <w:lang w:val="en-US"/>
        </w:rPr>
        <w:t>3</w:t>
      </w:r>
      <w:r w:rsidR="008620AB">
        <w:rPr>
          <w:lang w:val="en-US"/>
        </w:rPr>
        <w:t xml:space="preserve">; </w:t>
      </w:r>
      <w:r w:rsidR="008620AB" w:rsidRPr="008529B9">
        <w:rPr>
          <w:highlight w:val="magenta"/>
          <w:lang w:val="en-US"/>
        </w:rPr>
        <w:t>@bbva_serrano_2022</w:t>
      </w:r>
      <w:r w:rsidR="008529B9">
        <w:rPr>
          <w:lang w:val="en-US"/>
        </w:rPr>
        <w:t>]</w:t>
      </w:r>
      <w:r w:rsidR="00A7074A">
        <w:rPr>
          <w:lang w:val="en-US"/>
        </w:rPr>
        <w:t>.</w:t>
      </w:r>
      <w:r w:rsidR="00B43A67">
        <w:rPr>
          <w:lang w:val="en-US"/>
        </w:rPr>
        <w:t xml:space="preserve"> </w:t>
      </w:r>
      <w:r w:rsidR="00FD1A8B">
        <w:rPr>
          <w:lang w:val="en-US"/>
        </w:rPr>
        <w:t>A</w:t>
      </w:r>
      <w:r w:rsidR="008C179A">
        <w:rPr>
          <w:lang w:val="en-US"/>
        </w:rPr>
        <w:t>s of 2022,</w:t>
      </w:r>
      <w:r w:rsidR="00B43A67">
        <w:rPr>
          <w:lang w:val="en-US"/>
        </w:rPr>
        <w:t xml:space="preserve"> </w:t>
      </w:r>
      <w:r w:rsidR="00CC3F62" w:rsidRPr="00CC3F62">
        <w:rPr>
          <w:lang w:val="en-US"/>
        </w:rPr>
        <w:t xml:space="preserve">Mexico </w:t>
      </w:r>
      <w:r w:rsidR="00E172F0">
        <w:rPr>
          <w:lang w:val="en-US"/>
        </w:rPr>
        <w:t>became</w:t>
      </w:r>
      <w:r w:rsidR="00CC3F62" w:rsidRPr="00CC3F62">
        <w:rPr>
          <w:lang w:val="en-US"/>
        </w:rPr>
        <w:t xml:space="preserve"> the second-highest receiver of remittances in the world</w:t>
      </w:r>
      <w:r w:rsidR="00FD1A8B">
        <w:rPr>
          <w:lang w:val="en-US"/>
        </w:rPr>
        <w:t xml:space="preserve">, </w:t>
      </w:r>
      <w:r w:rsidR="00CC3F62" w:rsidRPr="00CC3F62">
        <w:rPr>
          <w:lang w:val="en-US"/>
        </w:rPr>
        <w:t xml:space="preserve">only </w:t>
      </w:r>
      <w:r w:rsidR="00FD1A8B">
        <w:rPr>
          <w:lang w:val="en-US"/>
        </w:rPr>
        <w:t xml:space="preserve">behind </w:t>
      </w:r>
      <w:r w:rsidR="00CC3F62" w:rsidRPr="00CC3F62">
        <w:rPr>
          <w:lang w:val="en-US"/>
        </w:rPr>
        <w:t>India</w:t>
      </w:r>
      <w:r w:rsidR="0024502E">
        <w:rPr>
          <w:lang w:val="en-US"/>
        </w:rPr>
        <w:t xml:space="preserve"> </w:t>
      </w:r>
      <w:r w:rsidR="00FD1A8B">
        <w:rPr>
          <w:lang w:val="en-US"/>
        </w:rPr>
        <w:t>(</w:t>
      </w:r>
      <w:r w:rsidR="001A5BE3">
        <w:rPr>
          <w:lang w:val="en-US"/>
        </w:rPr>
        <w:t>$</w:t>
      </w:r>
      <w:r w:rsidR="0024502E" w:rsidRPr="0024502E">
        <w:rPr>
          <w:lang w:val="en-US"/>
        </w:rPr>
        <w:t xml:space="preserve">55.9 </w:t>
      </w:r>
      <w:r w:rsidR="00EE3C6A">
        <w:rPr>
          <w:lang w:val="en-US"/>
        </w:rPr>
        <w:t>and $</w:t>
      </w:r>
      <w:r w:rsidR="001A5BE3">
        <w:rPr>
          <w:lang w:val="en-US"/>
        </w:rPr>
        <w:t xml:space="preserve">98.2 US billions, </w:t>
      </w:r>
      <w:r w:rsidR="00951DA5">
        <w:rPr>
          <w:lang w:val="en-US"/>
        </w:rPr>
        <w:t>respectively</w:t>
      </w:r>
      <w:r w:rsidR="0024502E">
        <w:rPr>
          <w:lang w:val="en-US"/>
        </w:rPr>
        <w:t>)</w:t>
      </w:r>
      <w:r w:rsidR="00CA4B75">
        <w:rPr>
          <w:lang w:val="en-US"/>
        </w:rPr>
        <w:t xml:space="preserve"> </w:t>
      </w:r>
      <w:r w:rsidR="00BF25C4">
        <w:rPr>
          <w:lang w:val="en-US"/>
        </w:rPr>
        <w:t>but</w:t>
      </w:r>
      <w:r w:rsidR="00CA4B75">
        <w:rPr>
          <w:lang w:val="en-US"/>
        </w:rPr>
        <w:t xml:space="preserve">, this amount represents 4.5% of the Mexican GDP while </w:t>
      </w:r>
      <w:r w:rsidR="00796797">
        <w:rPr>
          <w:lang w:val="en-US"/>
        </w:rPr>
        <w:t>2.</w:t>
      </w:r>
      <w:r w:rsidR="00E41121">
        <w:rPr>
          <w:lang w:val="en-US"/>
        </w:rPr>
        <w:t>9</w:t>
      </w:r>
      <w:r w:rsidR="00796797">
        <w:rPr>
          <w:lang w:val="en-US"/>
        </w:rPr>
        <w:t xml:space="preserve">% </w:t>
      </w:r>
      <w:r w:rsidR="00E41121">
        <w:rPr>
          <w:lang w:val="en-US"/>
        </w:rPr>
        <w:t xml:space="preserve">in the case </w:t>
      </w:r>
      <w:r w:rsidR="00796797">
        <w:rPr>
          <w:lang w:val="en-US"/>
        </w:rPr>
        <w:t>of India</w:t>
      </w:r>
      <w:r w:rsidR="00AD76D5">
        <w:rPr>
          <w:lang w:val="en-US"/>
        </w:rPr>
        <w:t xml:space="preserve"> [</w:t>
      </w:r>
      <w:r w:rsidR="00AD76D5" w:rsidRPr="008529B9">
        <w:rPr>
          <w:highlight w:val="magenta"/>
          <w:lang w:val="en-US"/>
        </w:rPr>
        <w:t>@bbva_serrano_2022</w:t>
      </w:r>
      <w:r w:rsidR="00AD76D5">
        <w:rPr>
          <w:lang w:val="en-US"/>
        </w:rPr>
        <w:t>]</w:t>
      </w:r>
      <w:r w:rsidR="00796797">
        <w:rPr>
          <w:lang w:val="en-US"/>
        </w:rPr>
        <w:t>.</w:t>
      </w:r>
    </w:p>
    <w:p w14:paraId="74ACDD3F" w14:textId="77777777" w:rsidR="000D2B2D" w:rsidRDefault="000D2B2D" w:rsidP="00EB7BB6">
      <w:pPr>
        <w:rPr>
          <w:lang w:val="en-US"/>
        </w:rPr>
      </w:pPr>
    </w:p>
    <w:p w14:paraId="6BA38188" w14:textId="3CD66B29" w:rsidR="00E536A4" w:rsidRDefault="00FF7F63" w:rsidP="00EB7BB6">
      <w:pPr>
        <w:rPr>
          <w:lang w:val="en-US"/>
        </w:rPr>
      </w:pPr>
      <w:r>
        <w:rPr>
          <w:lang w:val="en-US"/>
        </w:rPr>
        <w:t>With respect to trade, a</w:t>
      </w:r>
      <w:r w:rsidR="00E172F0">
        <w:rPr>
          <w:lang w:val="en-US"/>
        </w:rPr>
        <w:t>s of 202</w:t>
      </w:r>
      <w:r>
        <w:rPr>
          <w:lang w:val="en-US"/>
        </w:rPr>
        <w:t>3</w:t>
      </w:r>
      <w:r w:rsidR="00E172F0">
        <w:rPr>
          <w:lang w:val="en-US"/>
        </w:rPr>
        <w:t xml:space="preserve">, </w:t>
      </w:r>
      <w:r w:rsidR="00E172F0" w:rsidRPr="00CC3F62">
        <w:rPr>
          <w:lang w:val="en-US"/>
        </w:rPr>
        <w:t xml:space="preserve">Mexico </w:t>
      </w:r>
      <w:r w:rsidR="00E172F0">
        <w:rPr>
          <w:lang w:val="en-US"/>
        </w:rPr>
        <w:t>became</w:t>
      </w:r>
      <w:r w:rsidR="00E172F0" w:rsidRPr="00CC3F62">
        <w:rPr>
          <w:lang w:val="en-US"/>
        </w:rPr>
        <w:t xml:space="preserve"> the </w:t>
      </w:r>
      <w:r w:rsidR="00794201">
        <w:rPr>
          <w:lang w:val="en-US"/>
        </w:rPr>
        <w:t xml:space="preserve">US </w:t>
      </w:r>
      <w:r w:rsidR="006E74A2">
        <w:rPr>
          <w:lang w:val="en-US"/>
        </w:rPr>
        <w:t>top</w:t>
      </w:r>
      <w:r w:rsidR="00794201">
        <w:rPr>
          <w:lang w:val="en-US"/>
        </w:rPr>
        <w:t xml:space="preserve"> trading partner</w:t>
      </w:r>
      <w:r w:rsidR="00B1556C">
        <w:rPr>
          <w:lang w:val="en-US"/>
        </w:rPr>
        <w:t xml:space="preserve"> surpassing Canada, </w:t>
      </w:r>
      <w:r w:rsidR="00332B96">
        <w:rPr>
          <w:lang w:val="en-US"/>
        </w:rPr>
        <w:t xml:space="preserve">while </w:t>
      </w:r>
      <w:r w:rsidR="00CD7698">
        <w:rPr>
          <w:lang w:val="en-US"/>
        </w:rPr>
        <w:t>in</w:t>
      </w:r>
      <w:r w:rsidR="00332B96">
        <w:rPr>
          <w:lang w:val="en-US"/>
        </w:rPr>
        <w:t xml:space="preserve"> 2022 it became </w:t>
      </w:r>
      <w:r w:rsidR="00564436">
        <w:rPr>
          <w:lang w:val="en-US"/>
        </w:rPr>
        <w:t xml:space="preserve">its </w:t>
      </w:r>
      <w:r w:rsidR="00B96C36">
        <w:rPr>
          <w:lang w:val="en-US"/>
        </w:rPr>
        <w:t>first manufacturing partner surpassing China</w:t>
      </w:r>
      <w:r w:rsidR="00F855B1">
        <w:rPr>
          <w:lang w:val="en-US"/>
        </w:rPr>
        <w:t xml:space="preserve"> [</w:t>
      </w:r>
      <w:r w:rsidR="00F855B1" w:rsidRPr="008529B9">
        <w:rPr>
          <w:highlight w:val="magenta"/>
          <w:lang w:val="en-US"/>
        </w:rPr>
        <w:t>@</w:t>
      </w:r>
      <w:r w:rsidR="00F855B1">
        <w:rPr>
          <w:highlight w:val="magenta"/>
          <w:lang w:val="en-US"/>
        </w:rPr>
        <w:t>df_torres</w:t>
      </w:r>
      <w:r w:rsidR="00F855B1" w:rsidRPr="008529B9">
        <w:rPr>
          <w:highlight w:val="magenta"/>
          <w:lang w:val="en-US"/>
        </w:rPr>
        <w:t>_202</w:t>
      </w:r>
      <w:r w:rsidR="00F855B1" w:rsidRPr="00F855B1">
        <w:rPr>
          <w:highlight w:val="magenta"/>
          <w:lang w:val="en-US"/>
        </w:rPr>
        <w:t>3</w:t>
      </w:r>
      <w:r w:rsidR="00F855B1">
        <w:rPr>
          <w:lang w:val="en-US"/>
        </w:rPr>
        <w:t>]</w:t>
      </w:r>
      <w:r w:rsidR="00E172F0">
        <w:rPr>
          <w:lang w:val="en-US"/>
        </w:rPr>
        <w:t xml:space="preserve">. </w:t>
      </w:r>
      <w:r w:rsidR="0003588A">
        <w:rPr>
          <w:lang w:val="en-US"/>
        </w:rPr>
        <w:t xml:space="preserve">Although this shift accelerated due to post-pandemic nearshoring dynamics in the US, </w:t>
      </w:r>
      <w:r w:rsidR="00A44A39">
        <w:rPr>
          <w:lang w:val="en-US"/>
        </w:rPr>
        <w:t xml:space="preserve">such </w:t>
      </w:r>
      <w:r w:rsidR="00CA3575">
        <w:rPr>
          <w:lang w:val="en-US"/>
        </w:rPr>
        <w:t xml:space="preserve">increased demand </w:t>
      </w:r>
      <w:r w:rsidR="00A7074A">
        <w:rPr>
          <w:lang w:val="en-US"/>
        </w:rPr>
        <w:t xml:space="preserve">is only natural due to </w:t>
      </w:r>
      <w:r w:rsidR="00564436">
        <w:rPr>
          <w:lang w:val="en-US"/>
        </w:rPr>
        <w:t xml:space="preserve">and </w:t>
      </w:r>
      <w:r w:rsidR="00A7074A">
        <w:rPr>
          <w:lang w:val="en-US"/>
        </w:rPr>
        <w:t xml:space="preserve">technological advances allowing </w:t>
      </w:r>
      <w:r w:rsidR="001B3189">
        <w:rPr>
          <w:lang w:val="en-US"/>
        </w:rPr>
        <w:t xml:space="preserve">for </w:t>
      </w:r>
      <w:r w:rsidR="00A7074A">
        <w:rPr>
          <w:lang w:val="en-US"/>
        </w:rPr>
        <w:t xml:space="preserve">the </w:t>
      </w:r>
      <w:r w:rsidR="00811DC7">
        <w:rPr>
          <w:lang w:val="en-US"/>
        </w:rPr>
        <w:t xml:space="preserve">expansion and </w:t>
      </w:r>
      <w:r w:rsidR="00A7074A">
        <w:rPr>
          <w:lang w:val="en-US"/>
        </w:rPr>
        <w:t xml:space="preserve">evolution of the </w:t>
      </w:r>
      <w:r w:rsidR="00DA0E48">
        <w:rPr>
          <w:lang w:val="en-US"/>
        </w:rPr>
        <w:t xml:space="preserve">traditional </w:t>
      </w:r>
      <w:r w:rsidR="00A7074A">
        <w:rPr>
          <w:lang w:val="en-US"/>
        </w:rPr>
        <w:t xml:space="preserve">Mexican </w:t>
      </w:r>
      <w:r w:rsidR="00DA0E48">
        <w:rPr>
          <w:lang w:val="en-US"/>
        </w:rPr>
        <w:t>“M</w:t>
      </w:r>
      <w:r w:rsidR="00A7074A">
        <w:rPr>
          <w:lang w:val="en-US"/>
        </w:rPr>
        <w:t>aquila</w:t>
      </w:r>
      <w:r w:rsidR="00DA0E48">
        <w:rPr>
          <w:lang w:val="en-US"/>
        </w:rPr>
        <w:t>”</w:t>
      </w:r>
      <w:r w:rsidR="00A7074A">
        <w:rPr>
          <w:lang w:val="en-US"/>
        </w:rPr>
        <w:t xml:space="preserve"> into a multifaceted </w:t>
      </w:r>
      <w:r w:rsidR="00C13B8F">
        <w:rPr>
          <w:lang w:val="en-US"/>
        </w:rPr>
        <w:t>trade hub</w:t>
      </w:r>
      <w:r w:rsidR="00E15896">
        <w:rPr>
          <w:lang w:val="en-US"/>
        </w:rPr>
        <w:t>.</w:t>
      </w:r>
      <w:r w:rsidR="0003588A">
        <w:rPr>
          <w:lang w:val="en-US"/>
        </w:rPr>
        <w:t xml:space="preserve"> </w:t>
      </w:r>
      <w:r w:rsidR="00A44A39">
        <w:rPr>
          <w:lang w:val="en-US"/>
        </w:rPr>
        <w:t>Moreover,</w:t>
      </w:r>
      <w:r w:rsidR="0003588A">
        <w:rPr>
          <w:lang w:val="en-US"/>
        </w:rPr>
        <w:t xml:space="preserve"> this is also a result of </w:t>
      </w:r>
      <w:r w:rsidR="00E07A69">
        <w:rPr>
          <w:lang w:val="en-US"/>
        </w:rPr>
        <w:t xml:space="preserve">sound economic </w:t>
      </w:r>
      <w:r w:rsidR="00125145">
        <w:rPr>
          <w:lang w:val="en-US"/>
        </w:rPr>
        <w:t xml:space="preserve">reforms and </w:t>
      </w:r>
      <w:r w:rsidR="000A0ED5">
        <w:rPr>
          <w:lang w:val="en-US"/>
        </w:rPr>
        <w:t xml:space="preserve">13 </w:t>
      </w:r>
      <w:r w:rsidR="00C3717B">
        <w:rPr>
          <w:lang w:val="en-US"/>
        </w:rPr>
        <w:t xml:space="preserve">free trade agreements with </w:t>
      </w:r>
      <w:r w:rsidR="000A0ED5">
        <w:rPr>
          <w:lang w:val="en-US"/>
        </w:rPr>
        <w:t>50</w:t>
      </w:r>
      <w:r w:rsidR="00C3717B">
        <w:rPr>
          <w:lang w:val="en-US"/>
        </w:rPr>
        <w:t xml:space="preserve"> countries</w:t>
      </w:r>
      <w:r w:rsidR="00EA7482">
        <w:rPr>
          <w:lang w:val="en-US"/>
        </w:rPr>
        <w:t xml:space="preserve">, </w:t>
      </w:r>
      <w:r w:rsidR="00C3717B">
        <w:rPr>
          <w:lang w:val="en-US"/>
        </w:rPr>
        <w:t xml:space="preserve">particularly </w:t>
      </w:r>
      <w:r w:rsidR="0003588A">
        <w:rPr>
          <w:lang w:val="en-US"/>
        </w:rPr>
        <w:t xml:space="preserve">those </w:t>
      </w:r>
      <w:r w:rsidR="00A96012">
        <w:rPr>
          <w:lang w:val="en-US"/>
        </w:rPr>
        <w:t>under</w:t>
      </w:r>
      <w:r w:rsidR="00E07A69">
        <w:rPr>
          <w:lang w:val="en-US"/>
        </w:rPr>
        <w:t xml:space="preserve"> the </w:t>
      </w:r>
      <w:r w:rsidR="00F75FA0">
        <w:rPr>
          <w:lang w:val="en-US"/>
        </w:rPr>
        <w:t>scope of the USMCA, which was reformed</w:t>
      </w:r>
      <w:r w:rsidR="00922804">
        <w:rPr>
          <w:lang w:val="en-US"/>
        </w:rPr>
        <w:t xml:space="preserve"> in 20</w:t>
      </w:r>
      <w:r w:rsidR="00153D69">
        <w:rPr>
          <w:lang w:val="en-US"/>
        </w:rPr>
        <w:t>20</w:t>
      </w:r>
      <w:r w:rsidR="00F75FA0">
        <w:rPr>
          <w:lang w:val="en-US"/>
        </w:rPr>
        <w:t xml:space="preserve"> from the originally</w:t>
      </w:r>
      <w:r w:rsidR="00D62BD9">
        <w:rPr>
          <w:lang w:val="en-US"/>
        </w:rPr>
        <w:t xml:space="preserve"> signed NAFTA in 1991</w:t>
      </w:r>
      <w:r w:rsidR="000E54F8">
        <w:rPr>
          <w:lang w:val="en-US"/>
        </w:rPr>
        <w:t xml:space="preserve"> </w:t>
      </w:r>
      <w:r w:rsidR="00DB1861">
        <w:rPr>
          <w:lang w:val="en-US"/>
        </w:rPr>
        <w:t>[</w:t>
      </w:r>
      <w:r w:rsidR="000E54F8" w:rsidRPr="002C589D">
        <w:rPr>
          <w:highlight w:val="magenta"/>
          <w:lang w:val="en-US"/>
        </w:rPr>
        <w:t>@buendia</w:t>
      </w:r>
      <w:r w:rsidR="003F53C3">
        <w:rPr>
          <w:highlight w:val="magenta"/>
          <w:lang w:val="en-US"/>
        </w:rPr>
        <w:t>_1996</w:t>
      </w:r>
      <w:r w:rsidR="00DB1861">
        <w:rPr>
          <w:highlight w:val="magenta"/>
          <w:lang w:val="en-US"/>
        </w:rPr>
        <w:t xml:space="preserve">; </w:t>
      </w:r>
      <w:r w:rsidR="002C589D" w:rsidRPr="002C589D">
        <w:rPr>
          <w:highlight w:val="magenta"/>
          <w:lang w:val="en-US"/>
        </w:rPr>
        <w:t>@cameronwise_2004</w:t>
      </w:r>
      <w:r w:rsidR="00DB1861">
        <w:rPr>
          <w:lang w:val="en-US"/>
        </w:rPr>
        <w:t>]</w:t>
      </w:r>
      <w:r w:rsidR="00C13B8F">
        <w:rPr>
          <w:lang w:val="en-US"/>
        </w:rPr>
        <w:t>.</w:t>
      </w:r>
      <w:r w:rsidR="00D62BD9">
        <w:rPr>
          <w:lang w:val="en-US"/>
        </w:rPr>
        <w:t xml:space="preserve"> The</w:t>
      </w:r>
      <w:r w:rsidR="00F6000F">
        <w:rPr>
          <w:lang w:val="en-US"/>
        </w:rPr>
        <w:t xml:space="preserve"> </w:t>
      </w:r>
      <w:r w:rsidR="00565222">
        <w:rPr>
          <w:lang w:val="en-US"/>
        </w:rPr>
        <w:t xml:space="preserve">rule of law </w:t>
      </w:r>
      <w:r w:rsidR="00EE341D">
        <w:rPr>
          <w:lang w:val="en-US"/>
        </w:rPr>
        <w:t xml:space="preserve">conditions </w:t>
      </w:r>
      <w:r w:rsidR="00565222">
        <w:rPr>
          <w:lang w:val="en-US"/>
        </w:rPr>
        <w:t xml:space="preserve">that emanated from the trust relationship between Canada, </w:t>
      </w:r>
      <w:r w:rsidR="00EA6265">
        <w:rPr>
          <w:lang w:val="en-US"/>
        </w:rPr>
        <w:t>US</w:t>
      </w:r>
      <w:r w:rsidR="00565222">
        <w:rPr>
          <w:lang w:val="en-US"/>
        </w:rPr>
        <w:t xml:space="preserve">, and Mexico </w:t>
      </w:r>
      <w:r w:rsidR="009E7505">
        <w:rPr>
          <w:lang w:val="en-US"/>
        </w:rPr>
        <w:t xml:space="preserve">have enhanced </w:t>
      </w:r>
      <w:r w:rsidR="00BB6EDF">
        <w:rPr>
          <w:lang w:val="en-US"/>
        </w:rPr>
        <w:t xml:space="preserve">its appeal for larger </w:t>
      </w:r>
      <w:r w:rsidR="009E7505">
        <w:rPr>
          <w:lang w:val="en-US"/>
        </w:rPr>
        <w:t xml:space="preserve">flows of FDI </w:t>
      </w:r>
      <w:r w:rsidR="0099512C">
        <w:rPr>
          <w:lang w:val="en-US"/>
        </w:rPr>
        <w:t xml:space="preserve">that tend to </w:t>
      </w:r>
      <w:r w:rsidR="00E25B81">
        <w:rPr>
          <w:lang w:val="en-US"/>
        </w:rPr>
        <w:t xml:space="preserve">establish operations </w:t>
      </w:r>
      <w:r w:rsidR="0099512C">
        <w:rPr>
          <w:lang w:val="en-US"/>
        </w:rPr>
        <w:t xml:space="preserve">for longer </w:t>
      </w:r>
      <w:r w:rsidR="00B901B5">
        <w:rPr>
          <w:lang w:val="en-US"/>
        </w:rPr>
        <w:t xml:space="preserve">time </w:t>
      </w:r>
      <w:r w:rsidR="0099512C">
        <w:rPr>
          <w:lang w:val="en-US"/>
        </w:rPr>
        <w:t xml:space="preserve">periods </w:t>
      </w:r>
      <w:r w:rsidR="00DD7741">
        <w:rPr>
          <w:lang w:val="en-US"/>
        </w:rPr>
        <w:t xml:space="preserve">as opposed </w:t>
      </w:r>
      <w:r w:rsidR="0099512C">
        <w:rPr>
          <w:lang w:val="en-US"/>
        </w:rPr>
        <w:t xml:space="preserve">to shorter term investments that are most prone to </w:t>
      </w:r>
      <w:r w:rsidR="00E92A87">
        <w:rPr>
          <w:lang w:val="en-US"/>
        </w:rPr>
        <w:t>capital-flight dynamics.</w:t>
      </w:r>
    </w:p>
    <w:p w14:paraId="0B3B1CE4" w14:textId="77777777" w:rsidR="00BD648E" w:rsidRDefault="00BD648E" w:rsidP="00EB7BB6">
      <w:pPr>
        <w:rPr>
          <w:lang w:val="en-US"/>
        </w:rPr>
      </w:pPr>
    </w:p>
    <w:p w14:paraId="0A7777D4" w14:textId="4B9D9841" w:rsidR="0017477F" w:rsidRDefault="004B44DE" w:rsidP="00EB7BB6">
      <w:pPr>
        <w:rPr>
          <w:lang w:val="en-US"/>
        </w:rPr>
      </w:pPr>
      <w:r>
        <w:rPr>
          <w:lang w:val="en-US"/>
        </w:rPr>
        <w:t>Despite</w:t>
      </w:r>
      <w:r w:rsidR="00DA50AF">
        <w:rPr>
          <w:lang w:val="en-US"/>
        </w:rPr>
        <w:t xml:space="preserve"> </w:t>
      </w:r>
      <w:r w:rsidR="00F0272B" w:rsidRPr="00F0272B">
        <w:rPr>
          <w:lang w:val="en-US"/>
        </w:rPr>
        <w:t xml:space="preserve">trade liberalization efforts </w:t>
      </w:r>
      <w:r w:rsidR="00F0272B">
        <w:rPr>
          <w:lang w:val="en-US"/>
        </w:rPr>
        <w:t xml:space="preserve">and </w:t>
      </w:r>
      <w:r>
        <w:rPr>
          <w:lang w:val="en-US"/>
        </w:rPr>
        <w:t xml:space="preserve">enhanced </w:t>
      </w:r>
      <w:r w:rsidR="00191ED4">
        <w:rPr>
          <w:lang w:val="en-US"/>
        </w:rPr>
        <w:t>competitiveness,</w:t>
      </w:r>
      <w:r w:rsidR="00073A22">
        <w:rPr>
          <w:lang w:val="en-US"/>
        </w:rPr>
        <w:t xml:space="preserve"> </w:t>
      </w:r>
      <w:r w:rsidR="00D7381B">
        <w:rPr>
          <w:lang w:val="en-US"/>
        </w:rPr>
        <w:t xml:space="preserve">strong labor </w:t>
      </w:r>
      <w:r w:rsidR="00FA04B6">
        <w:rPr>
          <w:lang w:val="en-US"/>
        </w:rPr>
        <w:t xml:space="preserve">demand </w:t>
      </w:r>
      <w:r w:rsidR="00D7381B">
        <w:rPr>
          <w:lang w:val="en-US"/>
        </w:rPr>
        <w:t>in the US</w:t>
      </w:r>
      <w:r w:rsidR="00FA04B6">
        <w:rPr>
          <w:lang w:val="en-US"/>
        </w:rPr>
        <w:t xml:space="preserve"> continues to attract migrants</w:t>
      </w:r>
      <w:r w:rsidR="00501C84">
        <w:rPr>
          <w:lang w:val="en-US"/>
        </w:rPr>
        <w:t xml:space="preserve">, </w:t>
      </w:r>
      <w:r w:rsidR="00B4066A">
        <w:rPr>
          <w:lang w:val="en-US"/>
        </w:rPr>
        <w:t>in</w:t>
      </w:r>
      <w:r w:rsidR="000D6794">
        <w:rPr>
          <w:lang w:val="en-US"/>
        </w:rPr>
        <w:t xml:space="preserve"> 2021 </w:t>
      </w:r>
      <w:r w:rsidR="00B4066A">
        <w:rPr>
          <w:lang w:val="en-US"/>
        </w:rPr>
        <w:t xml:space="preserve">a </w:t>
      </w:r>
      <w:r w:rsidR="000D6794">
        <w:rPr>
          <w:lang w:val="en-US"/>
        </w:rPr>
        <w:t xml:space="preserve">total of </w:t>
      </w:r>
      <w:r w:rsidR="00073A22">
        <w:rPr>
          <w:lang w:val="en-US"/>
        </w:rPr>
        <w:t>11.9 million Mexican migra</w:t>
      </w:r>
      <w:r w:rsidR="00C24113">
        <w:rPr>
          <w:lang w:val="en-US"/>
        </w:rPr>
        <w:t>nts</w:t>
      </w:r>
      <w:r w:rsidR="00501C84">
        <w:rPr>
          <w:lang w:val="en-US"/>
        </w:rPr>
        <w:t xml:space="preserve"> </w:t>
      </w:r>
      <w:r w:rsidR="00B4066A">
        <w:rPr>
          <w:lang w:val="en-US"/>
        </w:rPr>
        <w:t>live</w:t>
      </w:r>
      <w:r w:rsidR="005A6341">
        <w:rPr>
          <w:lang w:val="en-US"/>
        </w:rPr>
        <w:t>d</w:t>
      </w:r>
      <w:r w:rsidR="00B4066A">
        <w:rPr>
          <w:lang w:val="en-US"/>
        </w:rPr>
        <w:t xml:space="preserve"> </w:t>
      </w:r>
      <w:r w:rsidR="00501C84">
        <w:rPr>
          <w:lang w:val="en-US"/>
        </w:rPr>
        <w:t>in the US</w:t>
      </w:r>
      <w:r w:rsidR="00AA6C2F">
        <w:rPr>
          <w:lang w:val="en-US"/>
        </w:rPr>
        <w:t xml:space="preserve"> [</w:t>
      </w:r>
      <w:r w:rsidR="00AA6C2F" w:rsidRPr="008529B9">
        <w:rPr>
          <w:highlight w:val="magenta"/>
          <w:lang w:val="en-US"/>
        </w:rPr>
        <w:t>@bbva_serrano_2022</w:t>
      </w:r>
      <w:r w:rsidR="00AA6C2F">
        <w:rPr>
          <w:lang w:val="en-US"/>
        </w:rPr>
        <w:t>]</w:t>
      </w:r>
      <w:r w:rsidR="00501C84">
        <w:rPr>
          <w:lang w:val="en-US"/>
        </w:rPr>
        <w:t>.</w:t>
      </w:r>
      <w:r w:rsidR="00C24113">
        <w:rPr>
          <w:lang w:val="en-US"/>
        </w:rPr>
        <w:t xml:space="preserve"> </w:t>
      </w:r>
      <w:r w:rsidR="004F5844">
        <w:rPr>
          <w:lang w:val="en-US"/>
        </w:rPr>
        <w:t>E</w:t>
      </w:r>
      <w:r w:rsidR="009A3DB1">
        <w:rPr>
          <w:lang w:val="en-US"/>
        </w:rPr>
        <w:t xml:space="preserve">ndogeneity </w:t>
      </w:r>
      <w:r w:rsidR="00E93EE0">
        <w:rPr>
          <w:lang w:val="en-US"/>
        </w:rPr>
        <w:t xml:space="preserve">concerns </w:t>
      </w:r>
      <w:r w:rsidR="00E730A9">
        <w:rPr>
          <w:lang w:val="en-US"/>
        </w:rPr>
        <w:t xml:space="preserve">should be considered </w:t>
      </w:r>
      <w:r w:rsidR="00365B84">
        <w:rPr>
          <w:lang w:val="en-US"/>
        </w:rPr>
        <w:t xml:space="preserve">since </w:t>
      </w:r>
      <w:r w:rsidR="006D6519">
        <w:rPr>
          <w:lang w:val="en-US"/>
        </w:rPr>
        <w:t xml:space="preserve">migration </w:t>
      </w:r>
      <w:r w:rsidR="00365B84">
        <w:rPr>
          <w:lang w:val="en-US"/>
        </w:rPr>
        <w:t xml:space="preserve">could be </w:t>
      </w:r>
      <w:r w:rsidR="006D6519">
        <w:rPr>
          <w:lang w:val="en-US"/>
        </w:rPr>
        <w:t xml:space="preserve">a consequence of poor </w:t>
      </w:r>
      <w:r w:rsidR="000D79BF">
        <w:rPr>
          <w:lang w:val="en-US"/>
        </w:rPr>
        <w:t>long-term</w:t>
      </w:r>
      <w:r w:rsidR="00C220AC">
        <w:rPr>
          <w:lang w:val="en-US"/>
        </w:rPr>
        <w:t xml:space="preserve"> </w:t>
      </w:r>
      <w:r w:rsidR="00973C61">
        <w:rPr>
          <w:lang w:val="en-US"/>
        </w:rPr>
        <w:t>policymaking</w:t>
      </w:r>
      <w:r w:rsidR="00FA77DE">
        <w:rPr>
          <w:lang w:val="en-US"/>
        </w:rPr>
        <w:t>,</w:t>
      </w:r>
      <w:r w:rsidR="006D6519">
        <w:rPr>
          <w:lang w:val="en-US"/>
        </w:rPr>
        <w:t xml:space="preserve"> </w:t>
      </w:r>
      <w:r w:rsidR="00973C61">
        <w:rPr>
          <w:lang w:val="en-US"/>
        </w:rPr>
        <w:t>forcing</w:t>
      </w:r>
      <w:r w:rsidR="00FF7949">
        <w:rPr>
          <w:lang w:val="en-US"/>
        </w:rPr>
        <w:t xml:space="preserve"> Mexicans to seek job opportunities elsewhere</w:t>
      </w:r>
      <w:r w:rsidR="009A3DB1">
        <w:rPr>
          <w:lang w:val="en-US"/>
        </w:rPr>
        <w:t>.</w:t>
      </w:r>
      <w:r w:rsidR="00365B84">
        <w:rPr>
          <w:lang w:val="en-US"/>
        </w:rPr>
        <w:t xml:space="preserve"> However, </w:t>
      </w:r>
      <w:r w:rsidR="007B0512">
        <w:rPr>
          <w:lang w:val="en-US"/>
        </w:rPr>
        <w:t xml:space="preserve">underlying </w:t>
      </w:r>
      <w:r w:rsidR="00365B84">
        <w:rPr>
          <w:lang w:val="en-US"/>
        </w:rPr>
        <w:t xml:space="preserve">conditions in the </w:t>
      </w:r>
      <w:r w:rsidR="00EA6265">
        <w:rPr>
          <w:lang w:val="en-US"/>
        </w:rPr>
        <w:t>US</w:t>
      </w:r>
      <w:r w:rsidR="00365B84">
        <w:rPr>
          <w:lang w:val="en-US"/>
        </w:rPr>
        <w:t xml:space="preserve"> would</w:t>
      </w:r>
      <w:r w:rsidR="00F85F61">
        <w:rPr>
          <w:lang w:val="en-US"/>
        </w:rPr>
        <w:t xml:space="preserve"> determine demand for labor and trade</w:t>
      </w:r>
      <w:r w:rsidR="00B844E2">
        <w:rPr>
          <w:lang w:val="en-US"/>
        </w:rPr>
        <w:t>, resulting in exogenous shocks</w:t>
      </w:r>
      <w:r w:rsidR="00F85F61">
        <w:rPr>
          <w:lang w:val="en-US"/>
        </w:rPr>
        <w:t>.</w:t>
      </w:r>
      <w:r w:rsidR="000C6F39">
        <w:rPr>
          <w:lang w:val="en-US"/>
        </w:rPr>
        <w:t xml:space="preserve"> Beyond </w:t>
      </w:r>
      <w:r w:rsidR="00037787">
        <w:rPr>
          <w:lang w:val="en-US"/>
        </w:rPr>
        <w:t xml:space="preserve">the benefits and </w:t>
      </w:r>
      <w:r w:rsidR="00B47226">
        <w:rPr>
          <w:lang w:val="en-US"/>
        </w:rPr>
        <w:t xml:space="preserve">consequences of </w:t>
      </w:r>
      <w:r w:rsidR="000C6F39">
        <w:rPr>
          <w:lang w:val="en-US"/>
        </w:rPr>
        <w:t>trade</w:t>
      </w:r>
      <w:r w:rsidR="003A090D">
        <w:rPr>
          <w:lang w:val="en-US"/>
        </w:rPr>
        <w:t xml:space="preserve">, </w:t>
      </w:r>
      <w:r w:rsidR="00E223F6">
        <w:rPr>
          <w:lang w:val="en-US"/>
        </w:rPr>
        <w:t>remittances</w:t>
      </w:r>
      <w:r w:rsidR="003A090D">
        <w:rPr>
          <w:lang w:val="en-US"/>
        </w:rPr>
        <w:t>,</w:t>
      </w:r>
      <w:r w:rsidR="00E223F6">
        <w:rPr>
          <w:lang w:val="en-US"/>
        </w:rPr>
        <w:t xml:space="preserve"> </w:t>
      </w:r>
      <w:r w:rsidR="00987CD4">
        <w:rPr>
          <w:lang w:val="en-US"/>
        </w:rPr>
        <w:t>a</w:t>
      </w:r>
      <w:r w:rsidR="00992F15">
        <w:rPr>
          <w:lang w:val="en-US"/>
        </w:rPr>
        <w:t xml:space="preserve"> historically </w:t>
      </w:r>
      <w:r w:rsidR="008E2D30">
        <w:rPr>
          <w:lang w:val="en-US"/>
        </w:rPr>
        <w:t>increasing</w:t>
      </w:r>
      <w:r w:rsidR="007254BA">
        <w:rPr>
          <w:lang w:val="en-US"/>
        </w:rPr>
        <w:t xml:space="preserve"> </w:t>
      </w:r>
      <w:r w:rsidR="00D17790">
        <w:rPr>
          <w:lang w:val="en-US"/>
        </w:rPr>
        <w:t xml:space="preserve">financial </w:t>
      </w:r>
      <w:r w:rsidR="00C25C6A">
        <w:rPr>
          <w:lang w:val="en-US"/>
        </w:rPr>
        <w:t>flow</w:t>
      </w:r>
      <w:r w:rsidR="00E00FAB">
        <w:rPr>
          <w:lang w:val="en-US"/>
        </w:rPr>
        <w:t xml:space="preserve"> </w:t>
      </w:r>
      <w:r w:rsidR="00513ABC">
        <w:rPr>
          <w:lang w:val="en-US"/>
        </w:rPr>
        <w:t>are</w:t>
      </w:r>
      <w:r w:rsidR="00455463">
        <w:rPr>
          <w:lang w:val="en-US"/>
        </w:rPr>
        <w:t xml:space="preserve"> sent by migrant</w:t>
      </w:r>
      <w:r w:rsidR="00DE202F">
        <w:rPr>
          <w:lang w:val="en-US"/>
        </w:rPr>
        <w:t xml:space="preserve"> workers</w:t>
      </w:r>
      <w:r w:rsidR="00C925BC">
        <w:rPr>
          <w:lang w:val="en-US"/>
        </w:rPr>
        <w:t xml:space="preserve"> to </w:t>
      </w:r>
      <w:r w:rsidR="00E673BE">
        <w:rPr>
          <w:lang w:val="en-US"/>
        </w:rPr>
        <w:t xml:space="preserve">support </w:t>
      </w:r>
      <w:r w:rsidR="00C925BC">
        <w:rPr>
          <w:lang w:val="en-US"/>
        </w:rPr>
        <w:t xml:space="preserve">Mexican </w:t>
      </w:r>
      <w:r w:rsidR="00605971">
        <w:rPr>
          <w:lang w:val="en-US"/>
        </w:rPr>
        <w:t>households</w:t>
      </w:r>
      <w:r w:rsidR="000E54F8">
        <w:rPr>
          <w:lang w:val="en-US"/>
        </w:rPr>
        <w:t xml:space="preserve"> </w:t>
      </w:r>
      <w:r w:rsidR="00DB1861">
        <w:rPr>
          <w:lang w:val="en-US"/>
        </w:rPr>
        <w:t>[</w:t>
      </w:r>
      <w:r w:rsidR="000E54F8" w:rsidRPr="002C589D">
        <w:rPr>
          <w:highlight w:val="magenta"/>
          <w:lang w:val="en-US"/>
        </w:rPr>
        <w:t>@doyle</w:t>
      </w:r>
      <w:r w:rsidR="002C589D" w:rsidRPr="00EB6813">
        <w:rPr>
          <w:highlight w:val="magenta"/>
          <w:lang w:val="en-US"/>
        </w:rPr>
        <w:t>_2015</w:t>
      </w:r>
      <w:r w:rsidR="00DB1861">
        <w:rPr>
          <w:lang w:val="en-US"/>
        </w:rPr>
        <w:t>;</w:t>
      </w:r>
      <w:r w:rsidR="00EB6813">
        <w:rPr>
          <w:lang w:val="en-US"/>
        </w:rPr>
        <w:t xml:space="preserve"> </w:t>
      </w:r>
      <w:r w:rsidR="00EB6813" w:rsidRPr="002C589D">
        <w:rPr>
          <w:highlight w:val="magenta"/>
          <w:lang w:val="en-US"/>
        </w:rPr>
        <w:t>@doyle</w:t>
      </w:r>
      <w:r w:rsidR="00DB1861">
        <w:rPr>
          <w:highlight w:val="magenta"/>
          <w:lang w:val="en-US"/>
        </w:rPr>
        <w:t>g</w:t>
      </w:r>
      <w:r w:rsidR="00EB6813" w:rsidRPr="00DB1861">
        <w:rPr>
          <w:highlight w:val="magenta"/>
          <w:lang w:val="en-US"/>
        </w:rPr>
        <w:t>_20</w:t>
      </w:r>
      <w:r w:rsidR="004231C5" w:rsidRPr="004231C5">
        <w:rPr>
          <w:highlight w:val="magenta"/>
          <w:lang w:val="en-US"/>
        </w:rPr>
        <w:t>19</w:t>
      </w:r>
      <w:r w:rsidR="00DB1861">
        <w:rPr>
          <w:lang w:val="en-US"/>
        </w:rPr>
        <w:t>]</w:t>
      </w:r>
      <w:r w:rsidR="008601FF">
        <w:rPr>
          <w:lang w:val="en-US"/>
        </w:rPr>
        <w:t>.</w:t>
      </w:r>
      <w:r w:rsidR="00FC3390">
        <w:rPr>
          <w:lang w:val="en-US"/>
        </w:rPr>
        <w:t xml:space="preserve"> Counterint</w:t>
      </w:r>
      <w:r w:rsidR="00E83BAC">
        <w:rPr>
          <w:lang w:val="en-US"/>
        </w:rPr>
        <w:t xml:space="preserve">uitively, </w:t>
      </w:r>
      <w:r w:rsidR="00237BBA">
        <w:rPr>
          <w:lang w:val="en-US"/>
        </w:rPr>
        <w:t xml:space="preserve">remittances </w:t>
      </w:r>
      <w:r w:rsidR="00457B8B">
        <w:rPr>
          <w:lang w:val="en-US"/>
        </w:rPr>
        <w:t xml:space="preserve">are </w:t>
      </w:r>
      <w:r w:rsidR="00EC7E8B">
        <w:rPr>
          <w:lang w:val="en-US"/>
        </w:rPr>
        <w:t xml:space="preserve">commonly </w:t>
      </w:r>
      <w:r w:rsidR="00457B8B">
        <w:rPr>
          <w:lang w:val="en-US"/>
        </w:rPr>
        <w:t>attributed</w:t>
      </w:r>
      <w:r w:rsidR="00E919E5">
        <w:rPr>
          <w:lang w:val="en-US"/>
        </w:rPr>
        <w:t xml:space="preserve"> </w:t>
      </w:r>
      <w:r w:rsidR="00457B8B">
        <w:rPr>
          <w:lang w:val="en-US"/>
        </w:rPr>
        <w:t xml:space="preserve">as a presidential accomplishment </w:t>
      </w:r>
      <w:proofErr w:type="gramStart"/>
      <w:r w:rsidR="00F364DD">
        <w:rPr>
          <w:lang w:val="en-US"/>
        </w:rPr>
        <w:t xml:space="preserve">regardless of the fact </w:t>
      </w:r>
      <w:r w:rsidR="00DB5231">
        <w:rPr>
          <w:lang w:val="en-US"/>
        </w:rPr>
        <w:t>that</w:t>
      </w:r>
      <w:proofErr w:type="gramEnd"/>
      <w:r w:rsidR="00DB5231">
        <w:rPr>
          <w:lang w:val="en-US"/>
        </w:rPr>
        <w:t xml:space="preserve"> </w:t>
      </w:r>
      <w:r w:rsidR="00237BBA">
        <w:rPr>
          <w:lang w:val="en-US"/>
        </w:rPr>
        <w:t>these transfers</w:t>
      </w:r>
      <w:r w:rsidR="00FB2426">
        <w:rPr>
          <w:lang w:val="en-US"/>
        </w:rPr>
        <w:t xml:space="preserve"> originate from conditions in the </w:t>
      </w:r>
      <w:r w:rsidR="00EA6265">
        <w:rPr>
          <w:lang w:val="en-US"/>
        </w:rPr>
        <w:t>US</w:t>
      </w:r>
      <w:r w:rsidR="00FB2426">
        <w:rPr>
          <w:lang w:val="en-US"/>
        </w:rPr>
        <w:t xml:space="preserve"> and migrant workers.</w:t>
      </w:r>
    </w:p>
    <w:p w14:paraId="48E3271D" w14:textId="77777777" w:rsidR="00BD648E" w:rsidRDefault="00BD648E" w:rsidP="00EB7BB6">
      <w:pPr>
        <w:rPr>
          <w:lang w:val="en-US"/>
        </w:rPr>
      </w:pPr>
    </w:p>
    <w:p w14:paraId="13864D72" w14:textId="78998669" w:rsidR="009930D0" w:rsidRDefault="009930D0" w:rsidP="00EB7BB6">
      <w:pPr>
        <w:rPr>
          <w:lang w:val="en-US"/>
        </w:rPr>
      </w:pPr>
      <w:r>
        <w:rPr>
          <w:lang w:val="en-US"/>
        </w:rPr>
        <w:t xml:space="preserve">This matters because </w:t>
      </w:r>
      <w:r w:rsidR="00A10F13">
        <w:rPr>
          <w:lang w:val="en-US"/>
        </w:rPr>
        <w:t xml:space="preserve">the </w:t>
      </w:r>
      <w:r w:rsidR="00D32FD2">
        <w:rPr>
          <w:lang w:val="en-US"/>
        </w:rPr>
        <w:t xml:space="preserve">positive perception of the </w:t>
      </w:r>
      <w:r w:rsidR="00A10F13">
        <w:rPr>
          <w:lang w:val="en-US"/>
        </w:rPr>
        <w:t xml:space="preserve">increasing flow of </w:t>
      </w:r>
      <w:r w:rsidR="00D32FD2">
        <w:rPr>
          <w:lang w:val="en-US"/>
        </w:rPr>
        <w:t xml:space="preserve">remittances might </w:t>
      </w:r>
      <w:r w:rsidR="003C56B7">
        <w:rPr>
          <w:lang w:val="en-US"/>
        </w:rPr>
        <w:t xml:space="preserve">result in misattribution of responsibility for an accomplishment beyond presidential </w:t>
      </w:r>
      <w:r w:rsidR="00C443EF">
        <w:rPr>
          <w:lang w:val="en-US"/>
        </w:rPr>
        <w:t>policymaking</w:t>
      </w:r>
      <w:r w:rsidR="003C56B7">
        <w:rPr>
          <w:lang w:val="en-US"/>
        </w:rPr>
        <w:t xml:space="preserve">. </w:t>
      </w:r>
      <w:r w:rsidR="00CD00EB">
        <w:rPr>
          <w:lang w:val="en-US"/>
        </w:rPr>
        <w:t xml:space="preserve">Hence, </w:t>
      </w:r>
      <w:r w:rsidR="009F1BBA">
        <w:rPr>
          <w:lang w:val="en-US"/>
        </w:rPr>
        <w:t xml:space="preserve">in order to amplify the </w:t>
      </w:r>
      <w:r w:rsidR="009B763D">
        <w:rPr>
          <w:lang w:val="en-US"/>
        </w:rPr>
        <w:t xml:space="preserve">fitting </w:t>
      </w:r>
      <w:r w:rsidR="009F1BBA">
        <w:rPr>
          <w:lang w:val="en-US"/>
        </w:rPr>
        <w:t xml:space="preserve">power of the model introduced by </w:t>
      </w:r>
      <w:r w:rsidR="006C710C" w:rsidRPr="002C589D">
        <w:rPr>
          <w:highlight w:val="magenta"/>
          <w:lang w:val="en-US"/>
        </w:rPr>
        <w:t>@CampelloZucco_2016</w:t>
      </w:r>
      <w:r w:rsidR="004231C5">
        <w:rPr>
          <w:lang w:val="en-US"/>
        </w:rPr>
        <w:t xml:space="preserve"> and drawing inspiration from </w:t>
      </w:r>
      <w:r w:rsidR="00F2341C">
        <w:rPr>
          <w:lang w:val="en-US"/>
        </w:rPr>
        <w:t xml:space="preserve">Bravo (2012), </w:t>
      </w:r>
      <w:r w:rsidR="00CD7610" w:rsidRPr="003C17F0">
        <w:rPr>
          <w:highlight w:val="magenta"/>
          <w:lang w:val="en-US"/>
        </w:rPr>
        <w:t>@doyles_2018</w:t>
      </w:r>
      <w:r w:rsidR="00CD7610">
        <w:rPr>
          <w:lang w:val="en-US"/>
        </w:rPr>
        <w:t xml:space="preserve">, </w:t>
      </w:r>
      <w:r w:rsidR="003C17F0">
        <w:rPr>
          <w:lang w:val="en-US"/>
        </w:rPr>
        <w:t xml:space="preserve">and </w:t>
      </w:r>
      <w:r w:rsidR="00CD7610" w:rsidRPr="003C17F0">
        <w:rPr>
          <w:highlight w:val="magenta"/>
          <w:lang w:val="en-US"/>
        </w:rPr>
        <w:t>@</w:t>
      </w:r>
      <w:r w:rsidR="004231C5" w:rsidRPr="003C17F0">
        <w:rPr>
          <w:highlight w:val="magenta"/>
          <w:lang w:val="en-US"/>
        </w:rPr>
        <w:t>doyleg_2019</w:t>
      </w:r>
      <w:r w:rsidR="00FD52E9">
        <w:rPr>
          <w:lang w:val="en-US"/>
        </w:rPr>
        <w:t xml:space="preserve">, </w:t>
      </w:r>
      <w:r w:rsidR="009B763D">
        <w:rPr>
          <w:lang w:val="en-US"/>
        </w:rPr>
        <w:t xml:space="preserve">I </w:t>
      </w:r>
      <w:r w:rsidR="007265AC">
        <w:rPr>
          <w:lang w:val="en-US"/>
        </w:rPr>
        <w:t xml:space="preserve">hypothesize that </w:t>
      </w:r>
      <w:r w:rsidR="009B763D">
        <w:rPr>
          <w:lang w:val="en-US"/>
        </w:rPr>
        <w:t xml:space="preserve">exogenous shocks </w:t>
      </w:r>
      <w:r w:rsidR="0047520B">
        <w:rPr>
          <w:lang w:val="en-US"/>
        </w:rPr>
        <w:t xml:space="preserve">resulting from </w:t>
      </w:r>
      <w:proofErr w:type="spellStart"/>
      <w:r w:rsidR="0065734C">
        <w:rPr>
          <w:lang w:val="en-US"/>
        </w:rPr>
        <w:t>i</w:t>
      </w:r>
      <w:proofErr w:type="spellEnd"/>
      <w:r w:rsidR="0065734C">
        <w:rPr>
          <w:lang w:val="en-US"/>
        </w:rPr>
        <w:t xml:space="preserve">) </w:t>
      </w:r>
      <w:r w:rsidR="0047520B">
        <w:rPr>
          <w:lang w:val="en-US"/>
        </w:rPr>
        <w:t xml:space="preserve">remittances flows and </w:t>
      </w:r>
      <w:r w:rsidR="0065734C">
        <w:rPr>
          <w:lang w:val="en-US"/>
        </w:rPr>
        <w:t xml:space="preserve">ii) </w:t>
      </w:r>
      <w:r w:rsidR="0011080B">
        <w:rPr>
          <w:lang w:val="en-US"/>
        </w:rPr>
        <w:t xml:space="preserve">strong </w:t>
      </w:r>
      <w:r w:rsidR="0047520B">
        <w:rPr>
          <w:lang w:val="en-US"/>
        </w:rPr>
        <w:t xml:space="preserve">labor demand </w:t>
      </w:r>
      <w:r w:rsidR="00B14461">
        <w:rPr>
          <w:lang w:val="en-US"/>
        </w:rPr>
        <w:t xml:space="preserve">in the </w:t>
      </w:r>
      <w:r w:rsidR="00EA6265">
        <w:rPr>
          <w:lang w:val="en-US"/>
        </w:rPr>
        <w:t>US</w:t>
      </w:r>
      <w:r w:rsidR="00B14461">
        <w:rPr>
          <w:lang w:val="en-US"/>
        </w:rPr>
        <w:t xml:space="preserve"> </w:t>
      </w:r>
      <w:r w:rsidR="0011080B">
        <w:rPr>
          <w:lang w:val="en-US"/>
        </w:rPr>
        <w:t xml:space="preserve">construction </w:t>
      </w:r>
      <w:r w:rsidR="00B14461">
        <w:rPr>
          <w:lang w:val="en-US"/>
        </w:rPr>
        <w:t>secto</w:t>
      </w:r>
      <w:r w:rsidR="00077712">
        <w:rPr>
          <w:lang w:val="en-US"/>
        </w:rPr>
        <w:t>r</w:t>
      </w:r>
      <w:r w:rsidR="005A114A">
        <w:rPr>
          <w:lang w:val="en-US"/>
        </w:rPr>
        <w:t>,</w:t>
      </w:r>
      <w:r w:rsidR="00077712">
        <w:rPr>
          <w:lang w:val="en-US"/>
        </w:rPr>
        <w:t xml:space="preserve"> could </w:t>
      </w:r>
      <w:r w:rsidR="00655528">
        <w:rPr>
          <w:lang w:val="en-US"/>
        </w:rPr>
        <w:t xml:space="preserve">help better characterize the </w:t>
      </w:r>
      <w:r w:rsidR="00281DEF">
        <w:rPr>
          <w:lang w:val="en-US"/>
        </w:rPr>
        <w:t xml:space="preserve">GET conditions </w:t>
      </w:r>
      <w:r w:rsidR="008A3EE8">
        <w:rPr>
          <w:lang w:val="en-US"/>
        </w:rPr>
        <w:t xml:space="preserve">and whether or not they have an effect on presidential popularity </w:t>
      </w:r>
      <w:r w:rsidR="00A872CB">
        <w:rPr>
          <w:lang w:val="en-US"/>
        </w:rPr>
        <w:t>for the case of</w:t>
      </w:r>
      <w:r w:rsidR="008A3EE8">
        <w:rPr>
          <w:lang w:val="en-US"/>
        </w:rPr>
        <w:t xml:space="preserve"> Mexico.</w:t>
      </w:r>
    </w:p>
    <w:p w14:paraId="4696A7C4" w14:textId="77777777" w:rsidR="0017477F" w:rsidRDefault="0017477F" w:rsidP="00EB7BB6">
      <w:pPr>
        <w:rPr>
          <w:lang w:val="en-US"/>
        </w:rPr>
      </w:pPr>
    </w:p>
    <w:p w14:paraId="1A827A9A" w14:textId="00FF4B0A" w:rsidR="008914CD" w:rsidRDefault="00EB500C" w:rsidP="00B44B89">
      <w:pPr>
        <w:rPr>
          <w:lang w:val="en-US"/>
        </w:rPr>
      </w:pPr>
      <w:r>
        <w:rPr>
          <w:lang w:val="en-US"/>
        </w:rPr>
        <w:t xml:space="preserve">It is tempting to </w:t>
      </w:r>
      <w:r w:rsidR="009B230F">
        <w:rPr>
          <w:lang w:val="en-US"/>
        </w:rPr>
        <w:t xml:space="preserve">study presidential approval with </w:t>
      </w:r>
      <w:r>
        <w:rPr>
          <w:lang w:val="en-US"/>
        </w:rPr>
        <w:t xml:space="preserve">variables like perceptions of security and </w:t>
      </w:r>
      <w:r w:rsidR="00E312B2">
        <w:rPr>
          <w:lang w:val="en-US"/>
        </w:rPr>
        <w:t>crime</w:t>
      </w:r>
      <w:r>
        <w:rPr>
          <w:lang w:val="en-US"/>
        </w:rPr>
        <w:t>,</w:t>
      </w:r>
      <w:r w:rsidR="00B8226F">
        <w:rPr>
          <w:lang w:val="en-US"/>
        </w:rPr>
        <w:t xml:space="preserve"> s</w:t>
      </w:r>
      <w:r w:rsidR="00DB07ED">
        <w:rPr>
          <w:lang w:val="en-US"/>
        </w:rPr>
        <w:t xml:space="preserve">cholars like </w:t>
      </w:r>
      <w:r w:rsidR="00DB07ED" w:rsidRPr="00D708A7">
        <w:rPr>
          <w:highlight w:val="magenta"/>
          <w:lang w:val="en-US"/>
        </w:rPr>
        <w:t>@</w:t>
      </w:r>
      <w:r w:rsidR="008B5ADC" w:rsidRPr="00D708A7">
        <w:rPr>
          <w:highlight w:val="magenta"/>
          <w:lang w:val="en-US"/>
        </w:rPr>
        <w:t>romeromag_2016</w:t>
      </w:r>
      <w:r w:rsidR="00DB07ED">
        <w:rPr>
          <w:lang w:val="en-US"/>
        </w:rPr>
        <w:t xml:space="preserve"> and </w:t>
      </w:r>
      <w:r w:rsidR="00DB07ED" w:rsidRPr="00D708A7">
        <w:rPr>
          <w:highlight w:val="magenta"/>
          <w:lang w:val="en-US"/>
        </w:rPr>
        <w:t>@</w:t>
      </w:r>
      <w:r w:rsidR="00EA440B" w:rsidRPr="00D708A7">
        <w:rPr>
          <w:highlight w:val="magenta"/>
          <w:lang w:val="en-US"/>
        </w:rPr>
        <w:t>doyle</w:t>
      </w:r>
      <w:r w:rsidR="00D708A7" w:rsidRPr="00D708A7">
        <w:rPr>
          <w:highlight w:val="magenta"/>
          <w:lang w:val="en-US"/>
        </w:rPr>
        <w:t>g_20</w:t>
      </w:r>
      <w:r w:rsidR="008F1D0F" w:rsidRPr="008F1D0F">
        <w:rPr>
          <w:highlight w:val="magenta"/>
          <w:lang w:val="en-US"/>
        </w:rPr>
        <w:t>19</w:t>
      </w:r>
      <w:r w:rsidR="00EA440B">
        <w:rPr>
          <w:lang w:val="en-US"/>
        </w:rPr>
        <w:t xml:space="preserve"> have argued </w:t>
      </w:r>
      <w:r w:rsidR="00B8226F">
        <w:rPr>
          <w:lang w:val="en-US"/>
        </w:rPr>
        <w:t xml:space="preserve">that these </w:t>
      </w:r>
      <w:r w:rsidR="00732A8E">
        <w:rPr>
          <w:lang w:val="en-US"/>
        </w:rPr>
        <w:t>predictors</w:t>
      </w:r>
      <w:r w:rsidR="009842AC">
        <w:rPr>
          <w:lang w:val="en-US"/>
        </w:rPr>
        <w:t xml:space="preserve"> </w:t>
      </w:r>
      <w:r w:rsidR="00B8226F">
        <w:rPr>
          <w:lang w:val="en-US"/>
        </w:rPr>
        <w:t>have a weight in presidential success in Mexico</w:t>
      </w:r>
      <w:r w:rsidR="00674555">
        <w:rPr>
          <w:lang w:val="en-US"/>
        </w:rPr>
        <w:t>, even more so than economic performance</w:t>
      </w:r>
      <w:r w:rsidR="0027152D">
        <w:rPr>
          <w:lang w:val="en-US"/>
        </w:rPr>
        <w:t xml:space="preserve">. However, </w:t>
      </w:r>
      <w:r w:rsidR="0088224B">
        <w:rPr>
          <w:lang w:val="en-US"/>
        </w:rPr>
        <w:t xml:space="preserve">the </w:t>
      </w:r>
      <w:r w:rsidR="000B2D25">
        <w:rPr>
          <w:lang w:val="en-US"/>
        </w:rPr>
        <w:t>foundations</w:t>
      </w:r>
      <w:r w:rsidR="0088224B">
        <w:rPr>
          <w:lang w:val="en-US"/>
        </w:rPr>
        <w:t xml:space="preserve"> of these </w:t>
      </w:r>
      <w:r w:rsidR="009842AC">
        <w:rPr>
          <w:lang w:val="en-US"/>
        </w:rPr>
        <w:t xml:space="preserve">variables </w:t>
      </w:r>
      <w:r w:rsidR="00374A19">
        <w:rPr>
          <w:lang w:val="en-US"/>
        </w:rPr>
        <w:t xml:space="preserve">are more </w:t>
      </w:r>
      <w:proofErr w:type="gramStart"/>
      <w:r w:rsidR="00374A19">
        <w:rPr>
          <w:lang w:val="en-US"/>
        </w:rPr>
        <w:t>endogenous</w:t>
      </w:r>
      <w:r w:rsidR="00A03D1D">
        <w:rPr>
          <w:lang w:val="en-US"/>
        </w:rPr>
        <w:t>ly</w:t>
      </w:r>
      <w:r w:rsidR="00374A19">
        <w:rPr>
          <w:lang w:val="en-US"/>
        </w:rPr>
        <w:t>-related</w:t>
      </w:r>
      <w:proofErr w:type="gramEnd"/>
      <w:r w:rsidR="00CA7077">
        <w:rPr>
          <w:lang w:val="en-US"/>
        </w:rPr>
        <w:t xml:space="preserve"> given the state</w:t>
      </w:r>
      <w:r w:rsidR="003A5B89">
        <w:rPr>
          <w:lang w:val="en-US"/>
        </w:rPr>
        <w:t>’s</w:t>
      </w:r>
      <w:r w:rsidR="00CA7077">
        <w:rPr>
          <w:lang w:val="en-US"/>
        </w:rPr>
        <w:t xml:space="preserve"> responsibility for </w:t>
      </w:r>
      <w:r w:rsidR="003A5B89">
        <w:rPr>
          <w:lang w:val="en-US"/>
        </w:rPr>
        <w:t>order and governance</w:t>
      </w:r>
      <w:r w:rsidR="0088224B">
        <w:rPr>
          <w:lang w:val="en-US"/>
        </w:rPr>
        <w:t xml:space="preserve">. </w:t>
      </w:r>
      <w:r w:rsidR="003D3EB5">
        <w:rPr>
          <w:lang w:val="en-US"/>
        </w:rPr>
        <w:t xml:space="preserve">While one could make a case that </w:t>
      </w:r>
      <w:r w:rsidR="00AB16D7">
        <w:rPr>
          <w:lang w:val="en-US"/>
        </w:rPr>
        <w:t>i</w:t>
      </w:r>
      <w:r w:rsidR="0087188A">
        <w:rPr>
          <w:lang w:val="en-US"/>
        </w:rPr>
        <w:t xml:space="preserve">nsecurity could arise </w:t>
      </w:r>
      <w:r w:rsidR="0016647C">
        <w:rPr>
          <w:lang w:val="en-US"/>
        </w:rPr>
        <w:t xml:space="preserve">from </w:t>
      </w:r>
      <w:r w:rsidR="0087188A">
        <w:rPr>
          <w:lang w:val="en-US"/>
        </w:rPr>
        <w:t>increased competition between Drug Trafficking Organizations (DTOs)</w:t>
      </w:r>
      <w:r w:rsidR="00051EB3">
        <w:rPr>
          <w:lang w:val="en-US"/>
        </w:rPr>
        <w:t xml:space="preserve"> </w:t>
      </w:r>
      <w:r w:rsidR="0016647C">
        <w:rPr>
          <w:lang w:val="en-US"/>
        </w:rPr>
        <w:t xml:space="preserve">on a feud </w:t>
      </w:r>
      <w:r w:rsidR="000E51A0">
        <w:rPr>
          <w:lang w:val="en-US"/>
        </w:rPr>
        <w:t xml:space="preserve">to protect or increase their </w:t>
      </w:r>
      <w:r w:rsidR="00051EB3">
        <w:rPr>
          <w:lang w:val="en-US"/>
        </w:rPr>
        <w:t xml:space="preserve">share of the </w:t>
      </w:r>
      <w:r w:rsidR="00F2765C">
        <w:rPr>
          <w:lang w:val="en-US"/>
        </w:rPr>
        <w:t xml:space="preserve">narcotics demand in the </w:t>
      </w:r>
      <w:r w:rsidR="00EA6265">
        <w:rPr>
          <w:lang w:val="en-US"/>
        </w:rPr>
        <w:t>US</w:t>
      </w:r>
      <w:r w:rsidR="00051EB3">
        <w:rPr>
          <w:lang w:val="en-US"/>
        </w:rPr>
        <w:t xml:space="preserve"> market</w:t>
      </w:r>
      <w:r w:rsidR="000E51A0">
        <w:rPr>
          <w:lang w:val="en-US"/>
        </w:rPr>
        <w:t xml:space="preserve">, it </w:t>
      </w:r>
      <w:r w:rsidR="00F65A42">
        <w:rPr>
          <w:lang w:val="en-US"/>
        </w:rPr>
        <w:t xml:space="preserve">could </w:t>
      </w:r>
      <w:r w:rsidR="003610E2">
        <w:rPr>
          <w:lang w:val="en-US"/>
        </w:rPr>
        <w:t>be</w:t>
      </w:r>
      <w:r w:rsidR="00F65A42">
        <w:rPr>
          <w:lang w:val="en-US"/>
        </w:rPr>
        <w:t xml:space="preserve"> more challenging </w:t>
      </w:r>
      <w:r w:rsidR="005645E1">
        <w:rPr>
          <w:lang w:val="en-US"/>
        </w:rPr>
        <w:t xml:space="preserve">to say that </w:t>
      </w:r>
      <w:r w:rsidR="00147E1A">
        <w:rPr>
          <w:lang w:val="en-US"/>
        </w:rPr>
        <w:t>crime</w:t>
      </w:r>
      <w:r w:rsidR="00AA0CCB">
        <w:rPr>
          <w:lang w:val="en-US"/>
        </w:rPr>
        <w:tab/>
      </w:r>
      <w:r w:rsidR="005645E1">
        <w:rPr>
          <w:lang w:val="en-US"/>
        </w:rPr>
        <w:t xml:space="preserve"> </w:t>
      </w:r>
      <w:r w:rsidR="00F83511">
        <w:rPr>
          <w:lang w:val="en-US"/>
        </w:rPr>
        <w:t>w</w:t>
      </w:r>
      <w:r w:rsidR="005645E1">
        <w:rPr>
          <w:lang w:val="en-US"/>
        </w:rPr>
        <w:t xml:space="preserve">ould be </w:t>
      </w:r>
      <w:proofErr w:type="gramStart"/>
      <w:r w:rsidR="005645E1">
        <w:rPr>
          <w:lang w:val="en-US"/>
        </w:rPr>
        <w:t>exogenously-driven</w:t>
      </w:r>
      <w:proofErr w:type="gramEnd"/>
      <w:r w:rsidR="005645E1">
        <w:rPr>
          <w:lang w:val="en-US"/>
        </w:rPr>
        <w:t xml:space="preserve"> by factors in the </w:t>
      </w:r>
      <w:r w:rsidR="00EA6265">
        <w:rPr>
          <w:lang w:val="en-US"/>
        </w:rPr>
        <w:t>US</w:t>
      </w:r>
      <w:r w:rsidR="005645E1">
        <w:rPr>
          <w:lang w:val="en-US"/>
        </w:rPr>
        <w:t>.</w:t>
      </w:r>
      <w:r w:rsidR="00015398">
        <w:rPr>
          <w:lang w:val="en-US"/>
        </w:rPr>
        <w:t xml:space="preserve"> It is precisely </w:t>
      </w:r>
      <w:r w:rsidR="008043F5">
        <w:rPr>
          <w:lang w:val="en-US"/>
        </w:rPr>
        <w:t xml:space="preserve">the </w:t>
      </w:r>
      <w:r w:rsidR="00AF25C9">
        <w:rPr>
          <w:lang w:val="en-US"/>
        </w:rPr>
        <w:t xml:space="preserve">exogenous and countercyclical </w:t>
      </w:r>
      <w:r w:rsidR="008043F5">
        <w:rPr>
          <w:lang w:val="en-US"/>
        </w:rPr>
        <w:t xml:space="preserve">characteristics of remittances that </w:t>
      </w:r>
      <w:r w:rsidR="00C7582E">
        <w:rPr>
          <w:lang w:val="en-US"/>
        </w:rPr>
        <w:t xml:space="preserve">allows for the </w:t>
      </w:r>
      <w:r w:rsidR="008043F5">
        <w:rPr>
          <w:lang w:val="en-US"/>
        </w:rPr>
        <w:t>exploration of misattribution of responsibility</w:t>
      </w:r>
      <w:r w:rsidR="006B49A9">
        <w:rPr>
          <w:lang w:val="en-US"/>
        </w:rPr>
        <w:t>.</w:t>
      </w:r>
    </w:p>
    <w:p w14:paraId="02729A01" w14:textId="77777777" w:rsidR="00BD648E" w:rsidRDefault="00BD648E" w:rsidP="00B44B89">
      <w:pPr>
        <w:rPr>
          <w:lang w:val="en-US"/>
        </w:rPr>
      </w:pPr>
    </w:p>
    <w:p w14:paraId="48B4E188" w14:textId="13628457" w:rsidR="003A6F94" w:rsidRDefault="003A6F94" w:rsidP="00B44B89">
      <w:pPr>
        <w:rPr>
          <w:lang w:val="en-US"/>
        </w:rPr>
      </w:pPr>
      <w:r w:rsidRPr="003A6F94">
        <w:rPr>
          <w:lang w:val="en-US"/>
        </w:rPr>
        <w:t>The remainder of the article is structured as follows</w:t>
      </w:r>
      <w:r w:rsidR="00F60B5F">
        <w:rPr>
          <w:lang w:val="en-US"/>
        </w:rPr>
        <w:t>:</w:t>
      </w:r>
      <w:r w:rsidRPr="003A6F94">
        <w:rPr>
          <w:lang w:val="en-US"/>
        </w:rPr>
        <w:t xml:space="preserve"> Section (3) </w:t>
      </w:r>
      <w:r w:rsidR="001E12B2" w:rsidRPr="003A6F94">
        <w:rPr>
          <w:lang w:val="en-US"/>
        </w:rPr>
        <w:t>introduces</w:t>
      </w:r>
      <w:r w:rsidRPr="003A6F94">
        <w:rPr>
          <w:lang w:val="en-US"/>
        </w:rPr>
        <w:t xml:space="preserve"> notions of </w:t>
      </w:r>
      <w:r w:rsidR="00954333">
        <w:rPr>
          <w:lang w:val="en-US"/>
        </w:rPr>
        <w:t xml:space="preserve">assignment of responsibility, </w:t>
      </w:r>
      <w:r w:rsidR="008D2B0B">
        <w:rPr>
          <w:lang w:val="en-US"/>
        </w:rPr>
        <w:t>economic voting</w:t>
      </w:r>
      <w:r w:rsidR="0062056E">
        <w:rPr>
          <w:lang w:val="en-US"/>
        </w:rPr>
        <w:t>,</w:t>
      </w:r>
      <w:r w:rsidRPr="003A6F94">
        <w:rPr>
          <w:lang w:val="en-US"/>
        </w:rPr>
        <w:t xml:space="preserve"> and </w:t>
      </w:r>
      <w:r w:rsidR="008D2B0B">
        <w:rPr>
          <w:lang w:val="en-US"/>
        </w:rPr>
        <w:t xml:space="preserve">presidential </w:t>
      </w:r>
      <w:r w:rsidR="000C5453">
        <w:rPr>
          <w:lang w:val="en-US"/>
        </w:rPr>
        <w:t>success</w:t>
      </w:r>
      <w:r w:rsidRPr="003A6F94">
        <w:rPr>
          <w:lang w:val="en-US"/>
        </w:rPr>
        <w:t xml:space="preserve">. Alongside, we explain the relationship between </w:t>
      </w:r>
      <w:r w:rsidR="000C5453">
        <w:rPr>
          <w:lang w:val="en-US"/>
        </w:rPr>
        <w:t>remittances,</w:t>
      </w:r>
      <w:r w:rsidR="003F0324">
        <w:rPr>
          <w:lang w:val="en-US"/>
        </w:rPr>
        <w:t xml:space="preserve"> </w:t>
      </w:r>
      <w:r w:rsidR="004454CA">
        <w:rPr>
          <w:lang w:val="en-US"/>
        </w:rPr>
        <w:t>employment in the construction sector</w:t>
      </w:r>
      <w:r w:rsidR="003F0324">
        <w:rPr>
          <w:lang w:val="en-US"/>
        </w:rPr>
        <w:t>, and presidential approval</w:t>
      </w:r>
      <w:r w:rsidRPr="003A6F94">
        <w:rPr>
          <w:lang w:val="en-US"/>
        </w:rPr>
        <w:t>. Section (</w:t>
      </w:r>
      <w:r w:rsidR="00C8548C">
        <w:rPr>
          <w:lang w:val="en-US"/>
        </w:rPr>
        <w:t>4</w:t>
      </w:r>
      <w:r w:rsidRPr="003A6F94">
        <w:rPr>
          <w:lang w:val="en-US"/>
        </w:rPr>
        <w:t>) describes the experimental design and data, followed by the hypotheses, and expected results in Section (</w:t>
      </w:r>
      <w:r w:rsidR="00610E6F">
        <w:rPr>
          <w:lang w:val="en-US"/>
        </w:rPr>
        <w:t>5</w:t>
      </w:r>
      <w:r w:rsidRPr="003A6F94">
        <w:rPr>
          <w:lang w:val="en-US"/>
        </w:rPr>
        <w:t xml:space="preserve">). </w:t>
      </w:r>
      <w:r w:rsidR="00610E6F">
        <w:rPr>
          <w:lang w:val="en-US"/>
        </w:rPr>
        <w:t>Finally</w:t>
      </w:r>
      <w:r w:rsidRPr="003A6F94">
        <w:rPr>
          <w:lang w:val="en-US"/>
        </w:rPr>
        <w:t xml:space="preserve">, we </w:t>
      </w:r>
      <w:r w:rsidR="0085690D">
        <w:rPr>
          <w:lang w:val="en-US"/>
        </w:rPr>
        <w:t>portray</w:t>
      </w:r>
      <w:r w:rsidRPr="003A6F94">
        <w:rPr>
          <w:lang w:val="en-US"/>
        </w:rPr>
        <w:t xml:space="preserve"> the implications</w:t>
      </w:r>
      <w:r w:rsidR="00300B89">
        <w:rPr>
          <w:lang w:val="en-US"/>
        </w:rPr>
        <w:t xml:space="preserve"> and</w:t>
      </w:r>
      <w:r w:rsidRPr="003A6F94">
        <w:rPr>
          <w:lang w:val="en-US"/>
        </w:rPr>
        <w:t xml:space="preserve"> limitations</w:t>
      </w:r>
      <w:r w:rsidR="00300B89">
        <w:rPr>
          <w:lang w:val="en-US"/>
        </w:rPr>
        <w:t xml:space="preserve"> </w:t>
      </w:r>
      <w:r w:rsidR="00610E6F">
        <w:rPr>
          <w:lang w:val="en-US"/>
        </w:rPr>
        <w:t xml:space="preserve">of the proposed study </w:t>
      </w:r>
      <w:r w:rsidRPr="003A6F94">
        <w:rPr>
          <w:lang w:val="en-US"/>
        </w:rPr>
        <w:t>in Section (</w:t>
      </w:r>
      <w:r w:rsidR="00610E6F">
        <w:rPr>
          <w:lang w:val="en-US"/>
        </w:rPr>
        <w:t>6</w:t>
      </w:r>
      <w:r w:rsidRPr="003A6F94">
        <w:rPr>
          <w:lang w:val="en-US"/>
        </w:rPr>
        <w:t>)</w:t>
      </w:r>
      <w:r w:rsidR="00300B89">
        <w:rPr>
          <w:lang w:val="en-US"/>
        </w:rPr>
        <w:t>.</w:t>
      </w:r>
    </w:p>
    <w:p w14:paraId="21CB968D" w14:textId="77777777" w:rsidR="003A6F94" w:rsidRDefault="003A6F94" w:rsidP="00B44B89">
      <w:pPr>
        <w:rPr>
          <w:lang w:val="en-US"/>
        </w:rPr>
      </w:pPr>
    </w:p>
    <w:p w14:paraId="1E36FD0A" w14:textId="79EDE1BC" w:rsidR="00F478F8" w:rsidRDefault="000D53EF" w:rsidP="00B44B89">
      <w:pPr>
        <w:rPr>
          <w:lang w:val="en-US"/>
        </w:rPr>
      </w:pPr>
      <w:r>
        <w:rPr>
          <w:lang w:val="en-US"/>
        </w:rPr>
        <w:t>##</w:t>
      </w:r>
      <w:r w:rsidR="00F478F8">
        <w:rPr>
          <w:lang w:val="en-US"/>
        </w:rPr>
        <w:t xml:space="preserve"> Literature Review</w:t>
      </w:r>
    </w:p>
    <w:p w14:paraId="0AD51E0F" w14:textId="77777777" w:rsidR="004565AD" w:rsidRDefault="004565AD" w:rsidP="00B44B89">
      <w:pPr>
        <w:rPr>
          <w:lang w:val="en-US"/>
        </w:rPr>
      </w:pPr>
    </w:p>
    <w:p w14:paraId="338EFD38" w14:textId="764E47E3" w:rsidR="00EC6BD4" w:rsidRPr="00E537AE" w:rsidRDefault="005B4F00" w:rsidP="00EC6BD4">
      <w:pPr>
        <w:rPr>
          <w:lang w:val="en-US"/>
        </w:rPr>
      </w:pPr>
      <w:r w:rsidRPr="007A133D">
        <w:rPr>
          <w:lang w:val="en-US"/>
        </w:rPr>
        <w:t xml:space="preserve">The relationship between remittances and economic growth has been a topic of debate, with </w:t>
      </w:r>
      <w:r>
        <w:rPr>
          <w:lang w:val="en-US"/>
        </w:rPr>
        <w:t xml:space="preserve">scholars </w:t>
      </w:r>
      <w:r w:rsidRPr="007A133D">
        <w:rPr>
          <w:lang w:val="en-US"/>
        </w:rPr>
        <w:t xml:space="preserve">such as </w:t>
      </w:r>
      <w:r w:rsidR="004067DA" w:rsidRPr="00756FE1">
        <w:rPr>
          <w:highlight w:val="magenta"/>
          <w:lang w:val="en-US"/>
        </w:rPr>
        <w:t>@y</w:t>
      </w:r>
      <w:r w:rsidRPr="00756FE1">
        <w:rPr>
          <w:highlight w:val="magenta"/>
          <w:lang w:val="en-US"/>
        </w:rPr>
        <w:t>ang</w:t>
      </w:r>
      <w:r w:rsidR="004067DA" w:rsidRPr="00756FE1">
        <w:rPr>
          <w:highlight w:val="magenta"/>
          <w:lang w:val="en-US"/>
        </w:rPr>
        <w:t>_</w:t>
      </w:r>
      <w:r w:rsidRPr="00756FE1">
        <w:rPr>
          <w:highlight w:val="magenta"/>
          <w:lang w:val="en-US"/>
        </w:rPr>
        <w:t>2007</w:t>
      </w:r>
      <w:r w:rsidRPr="007A133D">
        <w:rPr>
          <w:lang w:val="en-US"/>
        </w:rPr>
        <w:t xml:space="preserve"> suggesting that remittances act as a vital international risk-sharing mechanism</w:t>
      </w:r>
      <w:r w:rsidR="00A7756A">
        <w:rPr>
          <w:lang w:val="en-US"/>
        </w:rPr>
        <w:t xml:space="preserve">, </w:t>
      </w:r>
      <w:r w:rsidR="006E7EC1">
        <w:rPr>
          <w:lang w:val="en-US"/>
        </w:rPr>
        <w:t xml:space="preserve">of </w:t>
      </w:r>
      <w:r w:rsidR="00A7756A" w:rsidRPr="007A133D">
        <w:rPr>
          <w:lang w:val="en-US"/>
        </w:rPr>
        <w:t xml:space="preserve">being largely outside the control of governments in migrant home countries </w:t>
      </w:r>
      <w:r w:rsidR="00F204DE">
        <w:rPr>
          <w:lang w:val="en-US"/>
        </w:rPr>
        <w:t>[</w:t>
      </w:r>
      <w:r w:rsidR="00F204DE" w:rsidRPr="00A06977">
        <w:rPr>
          <w:highlight w:val="magenta"/>
          <w:lang w:val="en-US"/>
        </w:rPr>
        <w:t>@germano_2013</w:t>
      </w:r>
      <w:r w:rsidR="00F204DE">
        <w:rPr>
          <w:lang w:val="en-US"/>
        </w:rPr>
        <w:t xml:space="preserve">; </w:t>
      </w:r>
      <w:r w:rsidR="00F204DE" w:rsidRPr="00A06977">
        <w:rPr>
          <w:highlight w:val="magenta"/>
          <w:lang w:val="en-US"/>
        </w:rPr>
        <w:t>@</w:t>
      </w:r>
      <w:r w:rsidR="00F204DE">
        <w:rPr>
          <w:highlight w:val="magenta"/>
          <w:lang w:val="en-US"/>
        </w:rPr>
        <w:t>bravo</w:t>
      </w:r>
      <w:r w:rsidR="00F204DE" w:rsidRPr="007871AE">
        <w:rPr>
          <w:highlight w:val="magenta"/>
          <w:lang w:val="en-US"/>
        </w:rPr>
        <w:t>_2012</w:t>
      </w:r>
      <w:proofErr w:type="gramStart"/>
      <w:r w:rsidR="00F204DE">
        <w:rPr>
          <w:lang w:val="en-US"/>
        </w:rPr>
        <w:t>]</w:t>
      </w:r>
      <w:r w:rsidR="00A7756A" w:rsidRPr="007A133D">
        <w:rPr>
          <w:lang w:val="en-US"/>
        </w:rPr>
        <w:t xml:space="preserve">, </w:t>
      </w:r>
      <w:r w:rsidR="006E7EC1">
        <w:rPr>
          <w:lang w:val="en-US"/>
        </w:rPr>
        <w:t>and</w:t>
      </w:r>
      <w:proofErr w:type="gramEnd"/>
      <w:r w:rsidR="006E7EC1">
        <w:rPr>
          <w:lang w:val="en-US"/>
        </w:rPr>
        <w:t xml:space="preserve"> </w:t>
      </w:r>
      <w:r w:rsidR="00A7756A" w:rsidRPr="007A133D">
        <w:rPr>
          <w:lang w:val="en-US"/>
        </w:rPr>
        <w:t xml:space="preserve">considered a political manifestation of economic dependency </w:t>
      </w:r>
      <w:r w:rsidR="00D74950">
        <w:rPr>
          <w:lang w:val="en-US"/>
        </w:rPr>
        <w:t>[</w:t>
      </w:r>
      <w:r w:rsidR="00D74950" w:rsidRPr="00A06977">
        <w:rPr>
          <w:highlight w:val="magenta"/>
          <w:lang w:val="en-US"/>
        </w:rPr>
        <w:t>@</w:t>
      </w:r>
      <w:r w:rsidR="00D74950">
        <w:rPr>
          <w:highlight w:val="magenta"/>
          <w:lang w:val="en-US"/>
        </w:rPr>
        <w:t>wibbels</w:t>
      </w:r>
      <w:r w:rsidR="00D74950" w:rsidRPr="003A48D5">
        <w:rPr>
          <w:highlight w:val="magenta"/>
          <w:lang w:val="en-US"/>
        </w:rPr>
        <w:t>_20</w:t>
      </w:r>
      <w:r w:rsidR="00D74950" w:rsidRPr="003A48D5">
        <w:rPr>
          <w:highlight w:val="magenta"/>
          <w:lang w:val="en-US"/>
        </w:rPr>
        <w:t>06</w:t>
      </w:r>
      <w:r w:rsidR="00D74950">
        <w:rPr>
          <w:lang w:val="en-US"/>
        </w:rPr>
        <w:t>]</w:t>
      </w:r>
      <w:r w:rsidRPr="007A133D">
        <w:rPr>
          <w:lang w:val="en-US"/>
        </w:rPr>
        <w:t xml:space="preserve">. </w:t>
      </w:r>
      <w:r w:rsidR="00832A08" w:rsidRPr="00832A08">
        <w:rPr>
          <w:highlight w:val="magenta"/>
          <w:lang w:val="en-US"/>
        </w:rPr>
        <w:t>@doyles_2018</w:t>
      </w:r>
      <w:r w:rsidRPr="007A133D">
        <w:rPr>
          <w:lang w:val="en-US"/>
        </w:rPr>
        <w:t xml:space="preserve"> contribute to </w:t>
      </w:r>
      <w:r w:rsidR="00EC6BD4" w:rsidRPr="00EC6BD4">
        <w:rPr>
          <w:highlight w:val="yellow"/>
          <w:lang w:val="en-US"/>
        </w:rPr>
        <w:t xml:space="preserve">the literature by examining the </w:t>
      </w:r>
      <w:r w:rsidR="00D20C37">
        <w:rPr>
          <w:lang w:val="en-US"/>
        </w:rPr>
        <w:t xml:space="preserve">underexplored </w:t>
      </w:r>
      <w:r w:rsidR="00EC6BD4" w:rsidRPr="00EC6BD4">
        <w:rPr>
          <w:highlight w:val="yellow"/>
          <w:lang w:val="en-US"/>
        </w:rPr>
        <w:t>relationship between fluctuations in remitted income and incumbent approval in Central Eastern Europe, the Caucasus, and Central Asia. The</w:t>
      </w:r>
      <w:r w:rsidR="00547214">
        <w:rPr>
          <w:highlight w:val="yellow"/>
          <w:lang w:val="en-US"/>
        </w:rPr>
        <w:t>ir</w:t>
      </w:r>
      <w:r w:rsidR="00EC6BD4" w:rsidRPr="00EC6BD4">
        <w:rPr>
          <w:highlight w:val="yellow"/>
          <w:lang w:val="en-US"/>
        </w:rPr>
        <w:t xml:space="preserve"> study reinforces assumptions about voters' ability to disentangle competence from exogenous shocks, particularly in </w:t>
      </w:r>
      <w:proofErr w:type="gramStart"/>
      <w:r w:rsidR="00EC6BD4" w:rsidRPr="00EC6BD4">
        <w:rPr>
          <w:highlight w:val="yellow"/>
          <w:lang w:val="en-US"/>
        </w:rPr>
        <w:t>low-information</w:t>
      </w:r>
      <w:proofErr w:type="gramEnd"/>
      <w:r w:rsidR="00EC6BD4" w:rsidRPr="00EC6BD4">
        <w:rPr>
          <w:highlight w:val="yellow"/>
          <w:lang w:val="en-US"/>
        </w:rPr>
        <w:t>, developing country contexts (</w:t>
      </w:r>
      <w:r w:rsidR="00E15789" w:rsidRPr="002C589D">
        <w:rPr>
          <w:highlight w:val="magenta"/>
          <w:lang w:val="en-US"/>
        </w:rPr>
        <w:t>@CampelloZucco_2016</w:t>
      </w:r>
      <w:r w:rsidR="006421C5">
        <w:rPr>
          <w:highlight w:val="yellow"/>
          <w:lang w:val="en-US"/>
        </w:rPr>
        <w:t xml:space="preserve">; </w:t>
      </w:r>
      <w:r w:rsidR="006421C5" w:rsidRPr="00E365B3">
        <w:rPr>
          <w:highlight w:val="cyan"/>
          <w:lang w:val="en-US"/>
        </w:rPr>
        <w:t>Stokes 2001</w:t>
      </w:r>
      <w:r w:rsidR="00EC6BD4" w:rsidRPr="00EC6BD4">
        <w:rPr>
          <w:highlight w:val="yellow"/>
          <w:lang w:val="en-US"/>
        </w:rPr>
        <w:t>).</w:t>
      </w:r>
    </w:p>
    <w:p w14:paraId="7357E1F5" w14:textId="77777777" w:rsidR="00EC6BD4" w:rsidRDefault="00EC6BD4" w:rsidP="007A133D">
      <w:pPr>
        <w:rPr>
          <w:lang w:val="en-US"/>
        </w:rPr>
      </w:pPr>
    </w:p>
    <w:p w14:paraId="49A2E5F9" w14:textId="5E9C0B8B" w:rsidR="007A133D" w:rsidRPr="007A133D" w:rsidRDefault="00832A08" w:rsidP="007A133D">
      <w:pPr>
        <w:rPr>
          <w:lang w:val="en-US"/>
        </w:rPr>
      </w:pPr>
      <w:r w:rsidRPr="00832A08">
        <w:rPr>
          <w:highlight w:val="magenta"/>
          <w:lang w:val="en-US"/>
        </w:rPr>
        <w:t>@doyles_2018</w:t>
      </w:r>
      <w:r w:rsidR="007A133D" w:rsidRPr="007A133D">
        <w:rPr>
          <w:lang w:val="en-US"/>
        </w:rPr>
        <w:t xml:space="preserve"> </w:t>
      </w:r>
      <w:r w:rsidR="00AA0FD6">
        <w:rPr>
          <w:lang w:val="en-US"/>
        </w:rPr>
        <w:t xml:space="preserve">examine </w:t>
      </w:r>
      <w:r w:rsidR="007A133D" w:rsidRPr="007A133D">
        <w:rPr>
          <w:lang w:val="en-US"/>
        </w:rPr>
        <w:t xml:space="preserve">the impact of fluctuations in remitted income on support for incumbents in remittance-receiving countries. </w:t>
      </w:r>
      <w:r w:rsidR="00A861E1">
        <w:rPr>
          <w:lang w:val="en-US"/>
        </w:rPr>
        <w:t xml:space="preserve">The authors contend </w:t>
      </w:r>
      <w:r w:rsidR="00A861E1" w:rsidRPr="007A133D">
        <w:rPr>
          <w:lang w:val="en-US"/>
        </w:rPr>
        <w:t>that remittance recipients, by relying on their pocketbooks to assess government performance, may be attributing economic developments abroad to the actions of incumbents at home</w:t>
      </w:r>
      <w:r w:rsidR="00A861E1">
        <w:rPr>
          <w:lang w:val="en-US"/>
        </w:rPr>
        <w:t xml:space="preserve">. </w:t>
      </w:r>
      <w:r w:rsidR="007A133D" w:rsidRPr="007A133D">
        <w:rPr>
          <w:lang w:val="en-US"/>
        </w:rPr>
        <w:t xml:space="preserve">They </w:t>
      </w:r>
      <w:r w:rsidR="005E765C">
        <w:rPr>
          <w:lang w:val="en-US"/>
        </w:rPr>
        <w:t xml:space="preserve">show </w:t>
      </w:r>
      <w:r w:rsidR="007A133D" w:rsidRPr="007A133D">
        <w:rPr>
          <w:lang w:val="en-US"/>
        </w:rPr>
        <w:t xml:space="preserve">that changes in remittances influence economic assessments and incumbent approval, </w:t>
      </w:r>
      <w:r w:rsidR="00596B78">
        <w:rPr>
          <w:lang w:val="en-US"/>
        </w:rPr>
        <w:t xml:space="preserve">with </w:t>
      </w:r>
      <w:r w:rsidR="007A133D" w:rsidRPr="007A133D">
        <w:rPr>
          <w:lang w:val="en-US"/>
        </w:rPr>
        <w:t>increased remittance inflows lead</w:t>
      </w:r>
      <w:r w:rsidR="00595438">
        <w:rPr>
          <w:lang w:val="en-US"/>
        </w:rPr>
        <w:t>ing</w:t>
      </w:r>
      <w:r w:rsidR="007A133D" w:rsidRPr="007A133D">
        <w:rPr>
          <w:lang w:val="en-US"/>
        </w:rPr>
        <w:t xml:space="preserve"> to higher economic evaluations and incumbent approval, while declines result in punishment for incumbents.</w:t>
      </w:r>
      <w:r w:rsidR="005E765C">
        <w:rPr>
          <w:lang w:val="en-US"/>
        </w:rPr>
        <w:t xml:space="preserve"> </w:t>
      </w:r>
    </w:p>
    <w:p w14:paraId="0F3E3DFA" w14:textId="77777777" w:rsidR="005B6330" w:rsidRDefault="005B6330" w:rsidP="007A133D">
      <w:pPr>
        <w:rPr>
          <w:lang w:val="en-US"/>
        </w:rPr>
      </w:pPr>
    </w:p>
    <w:p w14:paraId="221F68F2" w14:textId="2C1A7C62" w:rsidR="007A133D" w:rsidRDefault="00354B8F" w:rsidP="007A133D">
      <w:pPr>
        <w:rPr>
          <w:lang w:val="en-US"/>
        </w:rPr>
      </w:pPr>
      <w:r>
        <w:rPr>
          <w:lang w:val="en-US"/>
        </w:rPr>
        <w:t>Findings by</w:t>
      </w:r>
      <w:r w:rsidR="00D86077">
        <w:rPr>
          <w:lang w:val="en-US"/>
        </w:rPr>
        <w:t xml:space="preserve"> </w:t>
      </w:r>
      <w:r w:rsidR="00832A08" w:rsidRPr="00832A08">
        <w:rPr>
          <w:highlight w:val="magenta"/>
          <w:lang w:val="en-US"/>
        </w:rPr>
        <w:t>@doyles_2018</w:t>
      </w:r>
      <w:r w:rsidR="003526D4">
        <w:rPr>
          <w:lang w:val="en-US"/>
        </w:rPr>
        <w:t xml:space="preserve"> </w:t>
      </w:r>
      <w:r w:rsidR="00D86077" w:rsidRPr="007A133D">
        <w:rPr>
          <w:lang w:val="en-US"/>
        </w:rPr>
        <w:t xml:space="preserve">challenge traditional notions of economic voting </w:t>
      </w:r>
      <w:r w:rsidR="00D86077" w:rsidRPr="00E365B3">
        <w:rPr>
          <w:highlight w:val="cyan"/>
          <w:lang w:val="en-US"/>
        </w:rPr>
        <w:t>(Kramer 1971; Fiorina 1981)</w:t>
      </w:r>
      <w:r w:rsidR="00D86077">
        <w:rPr>
          <w:lang w:val="en-US"/>
        </w:rPr>
        <w:t xml:space="preserve"> </w:t>
      </w:r>
      <w:r w:rsidR="00D86077" w:rsidRPr="005B6330">
        <w:rPr>
          <w:highlight w:val="yellow"/>
          <w:lang w:val="en-US"/>
        </w:rPr>
        <w:t xml:space="preserve">and </w:t>
      </w:r>
      <w:r w:rsidR="00550E20" w:rsidRPr="005B6330">
        <w:rPr>
          <w:highlight w:val="yellow"/>
          <w:lang w:val="en-US"/>
        </w:rPr>
        <w:t>competence misattribution in developed</w:t>
      </w:r>
      <w:r w:rsidR="002F1EC1">
        <w:rPr>
          <w:highlight w:val="yellow"/>
          <w:lang w:val="en-US"/>
        </w:rPr>
        <w:t xml:space="preserve"> countries</w:t>
      </w:r>
      <w:r w:rsidR="00550E20" w:rsidRPr="005B6330">
        <w:rPr>
          <w:highlight w:val="yellow"/>
          <w:lang w:val="en-US"/>
        </w:rPr>
        <w:t xml:space="preserve"> </w:t>
      </w:r>
      <w:r w:rsidR="00550E20" w:rsidRPr="00E365B3">
        <w:rPr>
          <w:highlight w:val="cyan"/>
          <w:lang w:val="en-US"/>
        </w:rPr>
        <w:t>(Duch and Stevenson</w:t>
      </w:r>
      <w:r w:rsidR="001F5D09" w:rsidRPr="00E365B3">
        <w:rPr>
          <w:highlight w:val="cyan"/>
          <w:lang w:val="en-US"/>
        </w:rPr>
        <w:t>,</w:t>
      </w:r>
      <w:r w:rsidR="00550E20" w:rsidRPr="00E365B3">
        <w:rPr>
          <w:highlight w:val="cyan"/>
          <w:lang w:val="en-US"/>
        </w:rPr>
        <w:t xml:space="preserve"> 2008</w:t>
      </w:r>
      <w:r w:rsidR="001F5D09" w:rsidRPr="00E365B3">
        <w:rPr>
          <w:highlight w:val="cyan"/>
          <w:lang w:val="en-US"/>
        </w:rPr>
        <w:t>)</w:t>
      </w:r>
      <w:r w:rsidR="002F1EC1">
        <w:rPr>
          <w:highlight w:val="yellow"/>
          <w:lang w:val="en-US"/>
        </w:rPr>
        <w:t xml:space="preserve">, while reinforcing </w:t>
      </w:r>
      <w:r w:rsidR="000716CF">
        <w:rPr>
          <w:highlight w:val="yellow"/>
          <w:lang w:val="en-US"/>
        </w:rPr>
        <w:t xml:space="preserve">those of </w:t>
      </w:r>
      <w:r w:rsidR="001F5D09" w:rsidRPr="005B6330">
        <w:rPr>
          <w:highlight w:val="yellow"/>
          <w:lang w:val="en-US"/>
        </w:rPr>
        <w:t>developing countries</w:t>
      </w:r>
      <w:r w:rsidR="001F5D09">
        <w:rPr>
          <w:highlight w:val="yellow"/>
          <w:lang w:val="en-US"/>
        </w:rPr>
        <w:t xml:space="preserve"> </w:t>
      </w:r>
      <w:r w:rsidR="001F5D09" w:rsidRPr="00E365B3">
        <w:rPr>
          <w:highlight w:val="cyan"/>
          <w:lang w:val="en-US"/>
        </w:rPr>
        <w:t>(</w:t>
      </w:r>
      <w:r w:rsidR="000716CF" w:rsidRPr="00E365B3">
        <w:rPr>
          <w:highlight w:val="cyan"/>
          <w:lang w:val="en-US"/>
        </w:rPr>
        <w:t xml:space="preserve">Campello and Zucco 2022; </w:t>
      </w:r>
      <w:r w:rsidR="00550E20" w:rsidRPr="00E365B3">
        <w:rPr>
          <w:highlight w:val="cyan"/>
          <w:lang w:val="en-US"/>
        </w:rPr>
        <w:t>Healy, Kuo, and Malhotra</w:t>
      </w:r>
      <w:r w:rsidR="001F5D09" w:rsidRPr="00E365B3">
        <w:rPr>
          <w:highlight w:val="cyan"/>
          <w:lang w:val="en-US"/>
        </w:rPr>
        <w:t>,</w:t>
      </w:r>
      <w:r w:rsidR="00550E20" w:rsidRPr="00E365B3">
        <w:rPr>
          <w:highlight w:val="cyan"/>
          <w:lang w:val="en-US"/>
        </w:rPr>
        <w:t xml:space="preserve"> 2014)</w:t>
      </w:r>
      <w:r w:rsidR="00550E20" w:rsidRPr="009D4C59">
        <w:rPr>
          <w:lang w:val="en-US"/>
        </w:rPr>
        <w:t>.</w:t>
      </w:r>
      <w:r w:rsidR="00792320">
        <w:rPr>
          <w:lang w:val="en-US"/>
        </w:rPr>
        <w:t xml:space="preserve"> </w:t>
      </w:r>
      <w:r w:rsidR="004F0518">
        <w:rPr>
          <w:lang w:val="en-US"/>
        </w:rPr>
        <w:t>E</w:t>
      </w:r>
      <w:r w:rsidR="004F0518" w:rsidRPr="004F0518">
        <w:rPr>
          <w:lang w:val="en-US"/>
        </w:rPr>
        <w:t xml:space="preserve">conomic voting can promote accountability, yet this does not happen as </w:t>
      </w:r>
      <w:r w:rsidR="007A133D" w:rsidRPr="007A133D">
        <w:rPr>
          <w:lang w:val="en-US"/>
        </w:rPr>
        <w:t xml:space="preserve">voters reward or punish incumbents for economic </w:t>
      </w:r>
      <w:r w:rsidR="00E01B7C">
        <w:rPr>
          <w:lang w:val="en-US"/>
        </w:rPr>
        <w:t>outcomes</w:t>
      </w:r>
      <w:r w:rsidR="007A133D" w:rsidRPr="007A133D">
        <w:rPr>
          <w:lang w:val="en-US"/>
        </w:rPr>
        <w:t xml:space="preserve"> beyond their control, </w:t>
      </w:r>
      <w:r w:rsidR="000F716C">
        <w:rPr>
          <w:lang w:val="en-US"/>
        </w:rPr>
        <w:t xml:space="preserve">which </w:t>
      </w:r>
      <w:r w:rsidR="00001E02">
        <w:rPr>
          <w:lang w:val="en-US"/>
        </w:rPr>
        <w:t xml:space="preserve">is </w:t>
      </w:r>
      <w:r w:rsidR="009E17CC">
        <w:rPr>
          <w:lang w:val="en-US"/>
        </w:rPr>
        <w:t xml:space="preserve">also known as </w:t>
      </w:r>
      <w:r w:rsidR="00563372">
        <w:rPr>
          <w:lang w:val="en-US"/>
        </w:rPr>
        <w:t>m</w:t>
      </w:r>
      <w:r w:rsidR="00563372" w:rsidRPr="007A133D">
        <w:rPr>
          <w:lang w:val="en-US"/>
        </w:rPr>
        <w:t>isattribution</w:t>
      </w:r>
      <w:r w:rsidR="00563372">
        <w:rPr>
          <w:lang w:val="en-US"/>
        </w:rPr>
        <w:t xml:space="preserve"> of responsibility</w:t>
      </w:r>
      <w:r w:rsidR="007A133D" w:rsidRPr="007A133D">
        <w:rPr>
          <w:lang w:val="en-US"/>
        </w:rPr>
        <w:t xml:space="preserve">. The authors </w:t>
      </w:r>
      <w:r w:rsidR="005835BC">
        <w:rPr>
          <w:lang w:val="en-US"/>
        </w:rPr>
        <w:t xml:space="preserve">support </w:t>
      </w:r>
      <w:r w:rsidR="000E55ED">
        <w:rPr>
          <w:lang w:val="en-US"/>
        </w:rPr>
        <w:t xml:space="preserve">claims by </w:t>
      </w:r>
      <w:r w:rsidR="00796490" w:rsidRPr="00E365B3">
        <w:rPr>
          <w:highlight w:val="cyan"/>
          <w:lang w:val="en-US"/>
        </w:rPr>
        <w:t>(Campello and Zucco, 2017)</w:t>
      </w:r>
      <w:r w:rsidR="00796490">
        <w:rPr>
          <w:lang w:val="en-US"/>
        </w:rPr>
        <w:t xml:space="preserve"> </w:t>
      </w:r>
      <w:r w:rsidR="00287186">
        <w:rPr>
          <w:lang w:val="en-US"/>
        </w:rPr>
        <w:t xml:space="preserve">stating that </w:t>
      </w:r>
      <w:r w:rsidR="005835BC" w:rsidRPr="0002463F">
        <w:rPr>
          <w:highlight w:val="yellow"/>
          <w:lang w:val="en-US"/>
        </w:rPr>
        <w:t>economic outcomes and assessments, even if largely driven by exogenous factors, may be the only signal or source of information about incumbent competence that voters have</w:t>
      </w:r>
      <w:r w:rsidR="007A133D" w:rsidRPr="007A133D">
        <w:rPr>
          <w:lang w:val="en-US"/>
        </w:rPr>
        <w:t>,</w:t>
      </w:r>
      <w:r w:rsidR="00977CD4">
        <w:rPr>
          <w:lang w:val="en-US"/>
        </w:rPr>
        <w:t xml:space="preserve"> which can</w:t>
      </w:r>
      <w:r w:rsidR="007A133D" w:rsidRPr="007A133D">
        <w:rPr>
          <w:lang w:val="en-US"/>
        </w:rPr>
        <w:t xml:space="preserve"> establish a chain of democratic accountability </w:t>
      </w:r>
      <w:r w:rsidR="007A133D" w:rsidRPr="00E365B3">
        <w:rPr>
          <w:highlight w:val="cyan"/>
          <w:lang w:val="en-US"/>
        </w:rPr>
        <w:t>(Stokes 2001)</w:t>
      </w:r>
      <w:r w:rsidR="007A133D" w:rsidRPr="007A133D">
        <w:rPr>
          <w:lang w:val="en-US"/>
        </w:rPr>
        <w:t>.</w:t>
      </w:r>
    </w:p>
    <w:p w14:paraId="58C7AD83" w14:textId="77777777" w:rsidR="006841AB" w:rsidRDefault="006841AB" w:rsidP="007A133D">
      <w:pPr>
        <w:rPr>
          <w:lang w:val="en-US"/>
        </w:rPr>
      </w:pPr>
    </w:p>
    <w:p w14:paraId="03751ED8" w14:textId="719C655B" w:rsidR="00D021B2" w:rsidRDefault="006841AB" w:rsidP="00D021B2">
      <w:pPr>
        <w:rPr>
          <w:lang w:val="en-US"/>
        </w:rPr>
      </w:pPr>
      <w:r w:rsidRPr="007E2102">
        <w:rPr>
          <w:highlight w:val="yellow"/>
          <w:lang w:val="en-US"/>
        </w:rPr>
        <w:lastRenderedPageBreak/>
        <w:t xml:space="preserve">(CZ </w:t>
      </w:r>
      <w:r w:rsidR="007E2102" w:rsidRPr="007E2102">
        <w:rPr>
          <w:highlight w:val="yellow"/>
          <w:lang w:val="en-US"/>
        </w:rPr>
        <w:t>2020 merit luck contrast with developed and developing</w:t>
      </w:r>
      <w:r w:rsidRPr="007E2102">
        <w:rPr>
          <w:highlight w:val="yellow"/>
          <w:lang w:val="en-US"/>
        </w:rPr>
        <w:t>)</w:t>
      </w:r>
      <w:r w:rsidR="00D021B2">
        <w:rPr>
          <w:lang w:val="en-US"/>
        </w:rPr>
        <w:t xml:space="preserve"> </w:t>
      </w:r>
      <w:r w:rsidR="00D021B2" w:rsidRPr="007A133D">
        <w:rPr>
          <w:lang w:val="en-US"/>
        </w:rPr>
        <w:t xml:space="preserve">In developing democracies, support for incumbents is often influenced by economic and political developments abroad, such as commodity price shocks </w:t>
      </w:r>
      <w:r w:rsidR="00D021B2" w:rsidRPr="00E365B3">
        <w:rPr>
          <w:highlight w:val="cyan"/>
          <w:lang w:val="en-US"/>
        </w:rPr>
        <w:t>(Leigh 2009; Monteiro and Ferraz 2012)</w:t>
      </w:r>
      <w:r w:rsidR="00D021B2" w:rsidRPr="007A133D">
        <w:rPr>
          <w:lang w:val="en-US"/>
        </w:rPr>
        <w:t xml:space="preserve">. </w:t>
      </w:r>
      <w:r w:rsidR="00E95A6E" w:rsidRPr="002C589D">
        <w:rPr>
          <w:highlight w:val="magenta"/>
          <w:lang w:val="en-US"/>
        </w:rPr>
        <w:t>@CampelloZucco_2016</w:t>
      </w:r>
      <w:r w:rsidR="00D021B2" w:rsidRPr="007A133D">
        <w:rPr>
          <w:lang w:val="en-US"/>
        </w:rPr>
        <w:t xml:space="preserve"> </w:t>
      </w:r>
      <w:proofErr w:type="gramStart"/>
      <w:r w:rsidR="00D021B2" w:rsidRPr="007A133D">
        <w:rPr>
          <w:lang w:val="en-US"/>
        </w:rPr>
        <w:t>demonstrate</w:t>
      </w:r>
      <w:proofErr w:type="gramEnd"/>
      <w:r w:rsidR="00D021B2" w:rsidRPr="007A133D">
        <w:rPr>
          <w:lang w:val="en-US"/>
        </w:rPr>
        <w:t xml:space="preserve"> that voters in Latin America misattribute responsibility for economic outcomes to incumbents, using </w:t>
      </w:r>
      <w:r w:rsidR="000C0DCF">
        <w:rPr>
          <w:lang w:val="en-US"/>
        </w:rPr>
        <w:t xml:space="preserve">the GET </w:t>
      </w:r>
      <w:r w:rsidR="00D021B2" w:rsidRPr="007A133D">
        <w:rPr>
          <w:lang w:val="en-US"/>
        </w:rPr>
        <w:t>index based on commodity prices and US interest rates. This misattribution, driven by exogenous shocks, has implications for the efficacy of the economic vote as a mechanism of accountability.</w:t>
      </w:r>
    </w:p>
    <w:p w14:paraId="08BD3E56" w14:textId="77777777" w:rsidR="005B64C7" w:rsidRPr="005B64C7" w:rsidRDefault="005B64C7" w:rsidP="005B64C7">
      <w:pPr>
        <w:rPr>
          <w:lang w:val="en-US"/>
        </w:rPr>
      </w:pPr>
    </w:p>
    <w:p w14:paraId="5F0D2CE7" w14:textId="7CDBDACE" w:rsidR="005B64C7" w:rsidRPr="005B64C7" w:rsidRDefault="001F205A" w:rsidP="005B64C7">
      <w:pPr>
        <w:rPr>
          <w:lang w:val="en-US"/>
        </w:rPr>
      </w:pPr>
      <w:r w:rsidRPr="002C589D">
        <w:rPr>
          <w:highlight w:val="magenta"/>
          <w:lang w:val="en-US"/>
        </w:rPr>
        <w:t>@CampelloZucco_2016</w:t>
      </w:r>
      <w:r w:rsidRPr="007A133D">
        <w:rPr>
          <w:lang w:val="en-US"/>
        </w:rPr>
        <w:t xml:space="preserve"> </w:t>
      </w:r>
      <w:r w:rsidR="00433FB0">
        <w:rPr>
          <w:lang w:val="en-US"/>
        </w:rPr>
        <w:t>demonstrate</w:t>
      </w:r>
      <w:r w:rsidR="00B5370B">
        <w:rPr>
          <w:lang w:val="en-US"/>
        </w:rPr>
        <w:t xml:space="preserve"> that the GET index</w:t>
      </w:r>
      <w:r w:rsidRPr="005B64C7">
        <w:rPr>
          <w:lang w:val="en-US"/>
        </w:rPr>
        <w:t xml:space="preserve">, designed to gauge international economic conditions affecting LSCE countries like Brazil, </w:t>
      </w:r>
      <w:r w:rsidR="00433FB0">
        <w:rPr>
          <w:lang w:val="en-US"/>
        </w:rPr>
        <w:t>do</w:t>
      </w:r>
      <w:r w:rsidRPr="005B64C7">
        <w:rPr>
          <w:lang w:val="en-US"/>
        </w:rPr>
        <w:t xml:space="preserve"> not impact Mexico in the same way.</w:t>
      </w:r>
      <w:r>
        <w:rPr>
          <w:lang w:val="en-US"/>
        </w:rPr>
        <w:t xml:space="preserve"> </w:t>
      </w:r>
      <w:r w:rsidR="005B64C7" w:rsidRPr="005B64C7">
        <w:rPr>
          <w:lang w:val="en-US"/>
        </w:rPr>
        <w:t xml:space="preserve">Brazil stands out as a commodity-exporting nation highly reliant on international capital flows, while Mexico distinguishes itself as one of the least commodity-dependent countries in Latin America. Mexico's unique position is attributed to its close ties with the U.S. consumer market, making it more receptive to financial capital during favorable economic conditions in the United States. This is particularly evident during periods of rising interest rates, indicative of a robust economy. </w:t>
      </w:r>
    </w:p>
    <w:p w14:paraId="17807496" w14:textId="77777777" w:rsidR="005B64C7" w:rsidRPr="005B64C7" w:rsidRDefault="005B64C7" w:rsidP="005B64C7">
      <w:pPr>
        <w:rPr>
          <w:lang w:val="en-US"/>
        </w:rPr>
      </w:pPr>
    </w:p>
    <w:p w14:paraId="045BBFC2" w14:textId="69B42762" w:rsidR="007A133D" w:rsidRDefault="005B64C7" w:rsidP="005B64C7">
      <w:pPr>
        <w:rPr>
          <w:lang w:val="en-US"/>
        </w:rPr>
      </w:pPr>
      <w:r w:rsidRPr="005B64C7">
        <w:rPr>
          <w:lang w:val="en-US"/>
        </w:rPr>
        <w:t>The distinction in commodity dependence becomes crucial when considering the economic vulnerabilities of countries in the region. Nations heavily reliant on commodity exports often find themselves as price takers in international trade markets, exposing them to the cyclicality of prices and leading to significant fluctuations in export earnings. During periods of high commodity prices, these countries experience economic prosperity and increased export revenues. Conversely, as prices decline, they face economic hardships. The classification of countries into the LSCE category, like most South American countries and Nicaragua, contrasts sharply with the stance of Central American countries</w:t>
      </w:r>
      <w:r w:rsidR="00DB2FCD">
        <w:rPr>
          <w:lang w:val="en-US"/>
        </w:rPr>
        <w:t>,</w:t>
      </w:r>
      <w:r w:rsidRPr="005B64C7">
        <w:rPr>
          <w:lang w:val="en-US"/>
        </w:rPr>
        <w:t xml:space="preserve"> </w:t>
      </w:r>
      <w:proofErr w:type="gramStart"/>
      <w:r w:rsidRPr="005B64C7">
        <w:rPr>
          <w:lang w:val="en-US"/>
        </w:rPr>
        <w:t>Mexico</w:t>
      </w:r>
      <w:proofErr w:type="gramEnd"/>
      <w:r w:rsidR="00DB2FCD">
        <w:rPr>
          <w:lang w:val="en-US"/>
        </w:rPr>
        <w:t xml:space="preserve"> and Paraguay</w:t>
      </w:r>
      <w:r w:rsidRPr="005B64C7">
        <w:rPr>
          <w:lang w:val="en-US"/>
        </w:rPr>
        <w:t xml:space="preserve">, which generally exhibit lower dependence on commodity exports. To quantify this dependence, data from the World Trade Organization (WTO) on trade was utilized, specifically computing the share of nonmanufacturing exports over total exports of goods and services in the year 2000, as outlined </w:t>
      </w:r>
      <w:r w:rsidR="00F626FC" w:rsidRPr="002C589D">
        <w:rPr>
          <w:highlight w:val="magenta"/>
          <w:lang w:val="en-US"/>
        </w:rPr>
        <w:t>@CampelloZucco_2016</w:t>
      </w:r>
      <w:r w:rsidRPr="005B64C7">
        <w:rPr>
          <w:lang w:val="en-US"/>
        </w:rPr>
        <w:t>.</w:t>
      </w:r>
    </w:p>
    <w:p w14:paraId="291EC599" w14:textId="77777777" w:rsidR="008D5136" w:rsidRDefault="008D5136" w:rsidP="005B64C7">
      <w:pPr>
        <w:rPr>
          <w:lang w:val="en-US"/>
        </w:rPr>
      </w:pPr>
    </w:p>
    <w:p w14:paraId="2A452ED7" w14:textId="7626DC6B" w:rsidR="008D5136" w:rsidRPr="008D5136" w:rsidRDefault="008D5136" w:rsidP="008D5136">
      <w:pPr>
        <w:rPr>
          <w:lang w:val="en-US"/>
        </w:rPr>
      </w:pPr>
      <w:r w:rsidRPr="008D5136">
        <w:rPr>
          <w:lang w:val="en-US"/>
        </w:rPr>
        <w:t xml:space="preserve">Mexico stands out as one of the world's largest crude oil exporters, boasting extensive reserves that rank 12th globally, enriched with abundant heavy crude deposits. </w:t>
      </w:r>
      <w:r w:rsidRPr="00891270">
        <w:rPr>
          <w:highlight w:val="cyan"/>
          <w:lang w:val="en-US"/>
        </w:rPr>
        <w:t>Pemex</w:t>
      </w:r>
      <w:r w:rsidRPr="008D5136">
        <w:rPr>
          <w:lang w:val="en-US"/>
        </w:rPr>
        <w:t xml:space="preserve">, the state-owned oil company, has played a pivotal role in driving the country's oil export market, shipping millions of barrels daily, predominantly to the United States. These crude oil exports significantly contribute to Mexico's economic development, generating substantial revenue for the government. However, a </w:t>
      </w:r>
      <w:r w:rsidR="00585EC0" w:rsidRPr="008D5136">
        <w:rPr>
          <w:lang w:val="en-US"/>
        </w:rPr>
        <w:t>contradiction</w:t>
      </w:r>
      <w:r w:rsidRPr="008D5136">
        <w:rPr>
          <w:lang w:val="en-US"/>
        </w:rPr>
        <w:t xml:space="preserve"> emerges as Mexico, despite being an oil-producing nation, finds itself heavily reliant on the United States for refined petroleum products, particularly gasoline.</w:t>
      </w:r>
    </w:p>
    <w:p w14:paraId="3B22AC26" w14:textId="77777777" w:rsidR="008D5136" w:rsidRPr="008D5136" w:rsidRDefault="008D5136" w:rsidP="008D5136">
      <w:pPr>
        <w:rPr>
          <w:lang w:val="en-US"/>
        </w:rPr>
      </w:pPr>
    </w:p>
    <w:p w14:paraId="1A5BC49D" w14:textId="317FB8EB" w:rsidR="008D5136" w:rsidRDefault="008D5136" w:rsidP="008D5136">
      <w:pPr>
        <w:rPr>
          <w:lang w:val="en-US"/>
        </w:rPr>
      </w:pPr>
      <w:r w:rsidRPr="008D5136">
        <w:rPr>
          <w:lang w:val="en-US"/>
        </w:rPr>
        <w:t xml:space="preserve">The paradox is elucidated by Mexico's insufficient domestic refining capacity, which </w:t>
      </w:r>
      <w:proofErr w:type="gramStart"/>
      <w:r w:rsidRPr="008D5136">
        <w:rPr>
          <w:lang w:val="en-US"/>
        </w:rPr>
        <w:t>lags behind</w:t>
      </w:r>
      <w:proofErr w:type="gramEnd"/>
      <w:r w:rsidRPr="008D5136">
        <w:rPr>
          <w:lang w:val="en-US"/>
        </w:rPr>
        <w:t xml:space="preserve"> its crude oil production. The country's refineries often grapple with outdated infrastructure, requiring substantial upgrades to efficiently process heavy crude into gasoline and other refined products. </w:t>
      </w:r>
      <w:r w:rsidRPr="008D5136">
        <w:rPr>
          <w:lang w:val="en-US"/>
        </w:rPr>
        <w:lastRenderedPageBreak/>
        <w:t xml:space="preserve">Consequently, Mexico turns to importing gasoline, with the United States emerging as a major supplier. The decision to import gasoline is not merely driven by necessity but also by cost considerations and expediency. Importing gasoline, particularly from the U.S., proves to be a more economical and swift solution than investing in extensive domestic refining upgrades. </w:t>
      </w:r>
    </w:p>
    <w:p w14:paraId="05B4C89E" w14:textId="77777777" w:rsidR="008D5136" w:rsidRDefault="008D5136" w:rsidP="008D5136">
      <w:pPr>
        <w:rPr>
          <w:lang w:val="en-US"/>
        </w:rPr>
      </w:pPr>
    </w:p>
    <w:p w14:paraId="4245B8A6" w14:textId="34A38548" w:rsidR="008D5136" w:rsidRDefault="004947F1" w:rsidP="008D5136">
      <w:pPr>
        <w:rPr>
          <w:lang w:val="en-US"/>
        </w:rPr>
      </w:pPr>
      <w:r>
        <w:rPr>
          <w:lang w:val="en-US"/>
        </w:rPr>
        <w:t xml:space="preserve">Compared to the oil giants of Latin America, </w:t>
      </w:r>
      <w:r w:rsidR="00BF79FA">
        <w:rPr>
          <w:lang w:val="en-US"/>
        </w:rPr>
        <w:t>asseverations</w:t>
      </w:r>
      <w:r>
        <w:rPr>
          <w:lang w:val="en-US"/>
        </w:rPr>
        <w:t xml:space="preserve"> by </w:t>
      </w:r>
      <w:r w:rsidR="00891270" w:rsidRPr="002C589D">
        <w:rPr>
          <w:highlight w:val="magenta"/>
          <w:lang w:val="en-US"/>
        </w:rPr>
        <w:t>@CampelloZucco_</w:t>
      </w:r>
      <w:proofErr w:type="gramStart"/>
      <w:r w:rsidR="00891270" w:rsidRPr="002C589D">
        <w:rPr>
          <w:highlight w:val="magenta"/>
          <w:lang w:val="en-US"/>
        </w:rPr>
        <w:t>2016</w:t>
      </w:r>
      <w:r w:rsidR="00891270" w:rsidRPr="007A133D">
        <w:rPr>
          <w:lang w:val="en-US"/>
        </w:rPr>
        <w:t xml:space="preserve"> </w:t>
      </w:r>
      <w:r>
        <w:rPr>
          <w:lang w:val="en-US"/>
        </w:rPr>
        <w:t xml:space="preserve"> </w:t>
      </w:r>
      <w:r w:rsidR="00E36D35">
        <w:rPr>
          <w:lang w:val="en-US"/>
        </w:rPr>
        <w:t>appear</w:t>
      </w:r>
      <w:proofErr w:type="gramEnd"/>
      <w:r w:rsidR="00E36D35">
        <w:rPr>
          <w:lang w:val="en-US"/>
        </w:rPr>
        <w:t xml:space="preserve"> logical</w:t>
      </w:r>
      <w:r w:rsidR="00EE0EE3">
        <w:rPr>
          <w:lang w:val="en-US"/>
        </w:rPr>
        <w:t xml:space="preserve">, yet on closer inspection </w:t>
      </w:r>
      <w:r w:rsidR="00584F95" w:rsidRPr="008D5136">
        <w:rPr>
          <w:lang w:val="en-US"/>
        </w:rPr>
        <w:t>Mexico's position in the global oil market</w:t>
      </w:r>
      <w:r w:rsidR="00584F95">
        <w:rPr>
          <w:lang w:val="en-US"/>
        </w:rPr>
        <w:t xml:space="preserve"> appears </w:t>
      </w:r>
      <w:r w:rsidR="00CD171E">
        <w:rPr>
          <w:lang w:val="en-US"/>
        </w:rPr>
        <w:t xml:space="preserve">a </w:t>
      </w:r>
      <w:r w:rsidR="008D5136" w:rsidRPr="008D5136">
        <w:rPr>
          <w:lang w:val="en-US"/>
        </w:rPr>
        <w:t xml:space="preserve">two-fold dependence, exporting crude while concurrently relying on foreign sources for refined products. The latest </w:t>
      </w:r>
      <w:r w:rsidR="008D5136" w:rsidRPr="00891270">
        <w:rPr>
          <w:highlight w:val="cyan"/>
          <w:lang w:val="en-US"/>
        </w:rPr>
        <w:t>Pemex Annual Report for 2022</w:t>
      </w:r>
      <w:r w:rsidR="008D5136" w:rsidRPr="008D5136">
        <w:rPr>
          <w:lang w:val="en-US"/>
        </w:rPr>
        <w:t xml:space="preserve"> reveals that Mexico imported 1.84 billion barrels of refined products, primarily gasoline and diesel, while domestic refining produced only 649 million barrels. This stark contrast highlights that over 70% of Mexico's gasoline consumption is met through imports, emphasizing the nation's significant dependence on external suppliers.</w:t>
      </w:r>
      <w:r w:rsidR="00E86231">
        <w:rPr>
          <w:lang w:val="en-US"/>
        </w:rPr>
        <w:t xml:space="preserve"> Because of this </w:t>
      </w:r>
      <w:r w:rsidR="00B645AB">
        <w:rPr>
          <w:lang w:val="en-US"/>
        </w:rPr>
        <w:t xml:space="preserve">I contend that the </w:t>
      </w:r>
      <w:r w:rsidR="00156638">
        <w:rPr>
          <w:lang w:val="en-US"/>
        </w:rPr>
        <w:t xml:space="preserve">original </w:t>
      </w:r>
      <w:r w:rsidR="00B645AB">
        <w:rPr>
          <w:lang w:val="en-US"/>
        </w:rPr>
        <w:t xml:space="preserve">GET </w:t>
      </w:r>
      <w:r w:rsidR="004D477A">
        <w:rPr>
          <w:lang w:val="en-US"/>
        </w:rPr>
        <w:t xml:space="preserve">can </w:t>
      </w:r>
      <w:r w:rsidR="00B645AB">
        <w:rPr>
          <w:lang w:val="en-US"/>
        </w:rPr>
        <w:t xml:space="preserve">be </w:t>
      </w:r>
      <w:r w:rsidR="00BA617B">
        <w:rPr>
          <w:lang w:val="en-US"/>
        </w:rPr>
        <w:t xml:space="preserve">enhanced </w:t>
      </w:r>
      <w:r w:rsidR="00156638">
        <w:rPr>
          <w:lang w:val="en-US"/>
        </w:rPr>
        <w:t xml:space="preserve">by </w:t>
      </w:r>
      <w:r w:rsidR="00B645AB">
        <w:rPr>
          <w:lang w:val="en-US"/>
        </w:rPr>
        <w:t>including remittances from the US</w:t>
      </w:r>
      <w:r w:rsidR="009A43E0">
        <w:rPr>
          <w:lang w:val="en-US"/>
        </w:rPr>
        <w:t xml:space="preserve">, hopefully </w:t>
      </w:r>
      <w:r w:rsidR="00C50F93">
        <w:rPr>
          <w:lang w:val="en-US"/>
        </w:rPr>
        <w:t>achiev</w:t>
      </w:r>
      <w:r w:rsidR="009A43E0">
        <w:rPr>
          <w:lang w:val="en-US"/>
        </w:rPr>
        <w:t>ing</w:t>
      </w:r>
      <w:r w:rsidR="00C50F93">
        <w:rPr>
          <w:lang w:val="en-US"/>
        </w:rPr>
        <w:t xml:space="preserve"> a better characterization of the index for the Mexican case</w:t>
      </w:r>
      <w:r w:rsidR="00B645AB">
        <w:rPr>
          <w:lang w:val="en-US"/>
        </w:rPr>
        <w:t>.</w:t>
      </w:r>
    </w:p>
    <w:p w14:paraId="53CB2790" w14:textId="77777777" w:rsidR="005B64C7" w:rsidRPr="007A133D" w:rsidRDefault="005B64C7" w:rsidP="005B64C7">
      <w:pPr>
        <w:rPr>
          <w:lang w:val="en-US"/>
        </w:rPr>
      </w:pPr>
    </w:p>
    <w:p w14:paraId="2CF7B87C" w14:textId="7BE98E46" w:rsidR="00731BEC" w:rsidRDefault="007A133D" w:rsidP="007A133D">
      <w:pPr>
        <w:rPr>
          <w:lang w:val="en-US"/>
        </w:rPr>
      </w:pPr>
      <w:r w:rsidRPr="007A133D">
        <w:rPr>
          <w:lang w:val="en-US"/>
        </w:rPr>
        <w:t>Remittances</w:t>
      </w:r>
      <w:r w:rsidR="00365F7A">
        <w:rPr>
          <w:lang w:val="en-US"/>
        </w:rPr>
        <w:t xml:space="preserve"> are </w:t>
      </w:r>
      <w:r w:rsidRPr="007A133D">
        <w:rPr>
          <w:lang w:val="en-US"/>
        </w:rPr>
        <w:t xml:space="preserve">considered </w:t>
      </w:r>
      <w:r w:rsidR="00365F7A">
        <w:rPr>
          <w:lang w:val="en-US"/>
        </w:rPr>
        <w:t xml:space="preserve">an </w:t>
      </w:r>
      <w:r w:rsidRPr="007A133D">
        <w:rPr>
          <w:lang w:val="en-US"/>
        </w:rPr>
        <w:t xml:space="preserve">exogenous </w:t>
      </w:r>
      <w:r w:rsidR="00795B1B">
        <w:rPr>
          <w:lang w:val="en-US"/>
        </w:rPr>
        <w:t xml:space="preserve">and countercyclical </w:t>
      </w:r>
      <w:r w:rsidRPr="007A133D">
        <w:rPr>
          <w:lang w:val="en-US"/>
        </w:rPr>
        <w:t>capital flow</w:t>
      </w:r>
      <w:r w:rsidR="00A108F8">
        <w:rPr>
          <w:lang w:val="en-US"/>
        </w:rPr>
        <w:t xml:space="preserve"> providing </w:t>
      </w:r>
      <w:r w:rsidRPr="007A133D">
        <w:rPr>
          <w:lang w:val="en-US"/>
        </w:rPr>
        <w:t xml:space="preserve">a unique test for attribution in economic voting. </w:t>
      </w:r>
      <w:r w:rsidR="00365F7A" w:rsidRPr="00891270">
        <w:rPr>
          <w:highlight w:val="cyan"/>
          <w:lang w:val="en-US"/>
        </w:rPr>
        <w:t>(Bravo 2012</w:t>
      </w:r>
      <w:r w:rsidR="00554177" w:rsidRPr="00891270">
        <w:rPr>
          <w:highlight w:val="cyan"/>
          <w:lang w:val="en-US"/>
        </w:rPr>
        <w:t>)</w:t>
      </w:r>
      <w:r w:rsidR="00554177">
        <w:rPr>
          <w:lang w:val="en-US"/>
        </w:rPr>
        <w:t xml:space="preserve"> and</w:t>
      </w:r>
      <w:r w:rsidR="00365F7A">
        <w:rPr>
          <w:lang w:val="en-US"/>
        </w:rPr>
        <w:t xml:space="preserve"> </w:t>
      </w:r>
      <w:r w:rsidR="00832A08">
        <w:rPr>
          <w:lang w:val="en-US"/>
        </w:rPr>
        <w:t>[</w:t>
      </w:r>
      <w:r w:rsidR="00832A08" w:rsidRPr="00832A08">
        <w:rPr>
          <w:highlight w:val="magenta"/>
          <w:lang w:val="en-US"/>
        </w:rPr>
        <w:t>@doyles_2018</w:t>
      </w:r>
      <w:r w:rsidR="00832A08">
        <w:rPr>
          <w:lang w:val="en-US"/>
        </w:rPr>
        <w:t>]</w:t>
      </w:r>
      <w:r w:rsidR="00365F7A">
        <w:rPr>
          <w:lang w:val="en-US"/>
        </w:rPr>
        <w:t xml:space="preserve"> </w:t>
      </w:r>
      <w:r w:rsidR="00757C26" w:rsidRPr="005F37AA">
        <w:rPr>
          <w:highlight w:val="yellow"/>
          <w:lang w:val="en-US"/>
        </w:rPr>
        <w:t>position remittances as exogenous capital flows, largely beyond the control of governments in migrant home countries</w:t>
      </w:r>
      <w:r w:rsidRPr="007A133D">
        <w:rPr>
          <w:lang w:val="en-US"/>
        </w:rPr>
        <w:t xml:space="preserve">. </w:t>
      </w:r>
      <w:r w:rsidR="00586C3D" w:rsidRPr="00891270">
        <w:rPr>
          <w:highlight w:val="cyan"/>
          <w:lang w:val="en-US"/>
        </w:rPr>
        <w:t xml:space="preserve">Cañas and Pranger (2023) </w:t>
      </w:r>
      <w:r w:rsidR="00586C3D" w:rsidRPr="00EC6BD4">
        <w:rPr>
          <w:highlight w:val="yellow"/>
          <w:lang w:val="en-US"/>
        </w:rPr>
        <w:t>underscore the critical role of U.S. labor market conditions, particularly in the construction sector, in driving the growth of remittances. The</w:t>
      </w:r>
      <w:r w:rsidR="00586C3D">
        <w:rPr>
          <w:highlight w:val="yellow"/>
          <w:lang w:val="en-US"/>
        </w:rPr>
        <w:t>y highlight the</w:t>
      </w:r>
      <w:r w:rsidR="00586C3D" w:rsidRPr="00EC6BD4">
        <w:rPr>
          <w:highlight w:val="yellow"/>
          <w:lang w:val="en-US"/>
        </w:rPr>
        <w:t xml:space="preserve"> countercyclical nature of remittances, </w:t>
      </w:r>
      <w:r w:rsidR="00586C3D">
        <w:rPr>
          <w:highlight w:val="yellow"/>
          <w:lang w:val="en-US"/>
        </w:rPr>
        <w:t xml:space="preserve">which </w:t>
      </w:r>
      <w:r w:rsidR="00586C3D" w:rsidRPr="00EC6BD4">
        <w:rPr>
          <w:highlight w:val="yellow"/>
          <w:lang w:val="en-US"/>
        </w:rPr>
        <w:t>increase during economic downturns</w:t>
      </w:r>
      <w:r w:rsidR="00042EB0">
        <w:rPr>
          <w:highlight w:val="yellow"/>
          <w:lang w:val="en-US"/>
        </w:rPr>
        <w:t xml:space="preserve"> and</w:t>
      </w:r>
      <w:r w:rsidR="00586C3D" w:rsidRPr="00EC6BD4">
        <w:rPr>
          <w:highlight w:val="yellow"/>
          <w:lang w:val="en-US"/>
        </w:rPr>
        <w:t xml:space="preserve"> </w:t>
      </w:r>
      <w:r w:rsidR="00586C3D">
        <w:rPr>
          <w:highlight w:val="yellow"/>
          <w:lang w:val="en-US"/>
        </w:rPr>
        <w:t xml:space="preserve">emphasize </w:t>
      </w:r>
      <w:r w:rsidR="00586C3D" w:rsidRPr="00EC6BD4">
        <w:rPr>
          <w:highlight w:val="yellow"/>
          <w:lang w:val="en-US"/>
        </w:rPr>
        <w:t>the intricate link between economic conditions in the host country and remittance flows.</w:t>
      </w:r>
      <w:r w:rsidR="00586C3D">
        <w:rPr>
          <w:lang w:val="en-US"/>
        </w:rPr>
        <w:t xml:space="preserve"> </w:t>
      </w:r>
      <w:r w:rsidR="00483292">
        <w:rPr>
          <w:lang w:val="en-US"/>
        </w:rPr>
        <w:t>T</w:t>
      </w:r>
      <w:r w:rsidR="00C047FD" w:rsidRPr="007A133D">
        <w:rPr>
          <w:lang w:val="en-US"/>
        </w:rPr>
        <w:t xml:space="preserve">he direct impact of remittances on household income, coupled with their largely uncontrollable nature by incumbent governments, makes them an excellent identification strategy to examine how individuals attribute responsibility for </w:t>
      </w:r>
      <w:r w:rsidR="00C047FD">
        <w:rPr>
          <w:lang w:val="en-US"/>
        </w:rPr>
        <w:t xml:space="preserve">exogenous </w:t>
      </w:r>
      <w:r w:rsidR="00C047FD" w:rsidRPr="007A133D">
        <w:rPr>
          <w:lang w:val="en-US"/>
        </w:rPr>
        <w:t>economic shocks</w:t>
      </w:r>
      <w:r w:rsidR="0060567C">
        <w:rPr>
          <w:lang w:val="en-US"/>
        </w:rPr>
        <w:t>.</w:t>
      </w:r>
    </w:p>
    <w:p w14:paraId="19BDFEB5" w14:textId="77777777" w:rsidR="00731BEC" w:rsidRDefault="00731BEC" w:rsidP="007A133D">
      <w:pPr>
        <w:rPr>
          <w:lang w:val="en-US"/>
        </w:rPr>
      </w:pPr>
    </w:p>
    <w:p w14:paraId="54DA38FA" w14:textId="18F72E3A" w:rsidR="000565DA" w:rsidRDefault="00DE76A4" w:rsidP="007A133D">
      <w:pPr>
        <w:rPr>
          <w:lang w:val="en-US"/>
        </w:rPr>
      </w:pPr>
      <w:r w:rsidRPr="00832A08">
        <w:rPr>
          <w:highlight w:val="magenta"/>
          <w:lang w:val="en-US"/>
        </w:rPr>
        <w:t>@doyles_2018</w:t>
      </w:r>
      <w:r w:rsidR="007A133D" w:rsidRPr="007A133D">
        <w:rPr>
          <w:lang w:val="en-US"/>
        </w:rPr>
        <w:t xml:space="preserve"> acknowledge endogeneity concerns and potential biases in attributing changes in economic evaluations solely to remittances. </w:t>
      </w:r>
      <w:r w:rsidR="003026ED">
        <w:rPr>
          <w:lang w:val="en-US"/>
        </w:rPr>
        <w:t xml:space="preserve">To </w:t>
      </w:r>
      <w:r w:rsidR="00DA60E0">
        <w:rPr>
          <w:lang w:val="en-US"/>
        </w:rPr>
        <w:t>address this concern</w:t>
      </w:r>
      <w:r w:rsidR="003026ED">
        <w:rPr>
          <w:lang w:val="en-US"/>
        </w:rPr>
        <w:t xml:space="preserve">, they </w:t>
      </w:r>
      <w:r w:rsidR="007A133D" w:rsidRPr="007A133D">
        <w:rPr>
          <w:lang w:val="en-US"/>
        </w:rPr>
        <w:t xml:space="preserve">use </w:t>
      </w:r>
      <w:r w:rsidR="00D50070">
        <w:rPr>
          <w:lang w:val="en-US"/>
        </w:rPr>
        <w:t xml:space="preserve">the share of woman in each household as </w:t>
      </w:r>
      <w:r w:rsidR="007A133D" w:rsidRPr="007A133D">
        <w:rPr>
          <w:lang w:val="en-US"/>
        </w:rPr>
        <w:t xml:space="preserve">instrumental variable </w:t>
      </w:r>
      <w:r w:rsidR="00D50070">
        <w:rPr>
          <w:lang w:val="en-US"/>
        </w:rPr>
        <w:t>in a</w:t>
      </w:r>
      <w:r w:rsidR="007A133D" w:rsidRPr="007A133D">
        <w:rPr>
          <w:lang w:val="en-US"/>
        </w:rPr>
        <w:t xml:space="preserve"> within-subject design</w:t>
      </w:r>
      <w:r w:rsidR="00DA60E0">
        <w:rPr>
          <w:lang w:val="en-US"/>
        </w:rPr>
        <w:t xml:space="preserve">. </w:t>
      </w:r>
      <w:r w:rsidR="007A133D" w:rsidRPr="007A133D">
        <w:rPr>
          <w:lang w:val="en-US"/>
        </w:rPr>
        <w:t>The study underscores the fragile equilibrium remittances can create, influencing accountability mechanisms and governance dynamics in remittance-dependent economies. Misattribution, whether rational or not, poses normative challenges for democratic accountability, urging a reconsideration of traditional economic voting models in the context of exogenous shocks and remittance dependency.</w:t>
      </w:r>
    </w:p>
    <w:p w14:paraId="59857079" w14:textId="77777777" w:rsidR="003D2FD8" w:rsidRDefault="003D2FD8" w:rsidP="006D19BA">
      <w:pPr>
        <w:rPr>
          <w:lang w:val="en-US"/>
        </w:rPr>
      </w:pPr>
    </w:p>
    <w:p w14:paraId="467BF11B" w14:textId="7C1C01FE" w:rsidR="00B81A77" w:rsidRDefault="00B81A77" w:rsidP="006D19BA">
      <w:pPr>
        <w:rPr>
          <w:lang w:val="en-US"/>
        </w:rPr>
      </w:pPr>
      <w:r>
        <w:rPr>
          <w:lang w:val="en-US"/>
        </w:rPr>
        <w:t>##</w:t>
      </w:r>
      <w:r w:rsidR="00E537AE">
        <w:rPr>
          <w:lang w:val="en-US"/>
        </w:rPr>
        <w:t xml:space="preserve"># </w:t>
      </w:r>
    </w:p>
    <w:p w14:paraId="74E43EF0" w14:textId="77777777" w:rsidR="003B5292" w:rsidRDefault="003B5292" w:rsidP="00E537AE">
      <w:pPr>
        <w:rPr>
          <w:lang w:val="en-US"/>
        </w:rPr>
      </w:pPr>
    </w:p>
    <w:p w14:paraId="00A7E04C" w14:textId="77777777" w:rsidR="00893440" w:rsidRPr="00893440" w:rsidRDefault="00893440" w:rsidP="00893440">
      <w:pPr>
        <w:rPr>
          <w:lang w:val="en-US"/>
        </w:rPr>
      </w:pPr>
      <w:r w:rsidRPr="00893440">
        <w:rPr>
          <w:lang w:val="en-US"/>
        </w:rPr>
        <w:t xml:space="preserve">Presidential approval and public security in the context of Mexico's War on Crime have been intricately examined by Romero, </w:t>
      </w:r>
      <w:proofErr w:type="spellStart"/>
      <w:r w:rsidRPr="00893440">
        <w:rPr>
          <w:lang w:val="en-US"/>
        </w:rPr>
        <w:t>Magaloni</w:t>
      </w:r>
      <w:proofErr w:type="spellEnd"/>
      <w:r w:rsidRPr="00893440">
        <w:rPr>
          <w:lang w:val="en-US"/>
        </w:rPr>
        <w:t>, and Díaz-</w:t>
      </w:r>
      <w:proofErr w:type="spellStart"/>
      <w:r w:rsidRPr="00893440">
        <w:rPr>
          <w:lang w:val="en-US"/>
        </w:rPr>
        <w:t>Cayeros</w:t>
      </w:r>
      <w:proofErr w:type="spellEnd"/>
      <w:r w:rsidRPr="00893440">
        <w:rPr>
          <w:lang w:val="en-US"/>
        </w:rPr>
        <w:t xml:space="preserve"> (2016). Addressing a gap in existing literature that often links crime to local authorities, the authors investigate the impact of </w:t>
      </w:r>
      <w:r w:rsidRPr="00893440">
        <w:rPr>
          <w:lang w:val="en-US"/>
        </w:rPr>
        <w:lastRenderedPageBreak/>
        <w:t xml:space="preserve">victimization on presidential approval using survey data from the </w:t>
      </w:r>
      <w:proofErr w:type="spellStart"/>
      <w:r w:rsidRPr="00893440">
        <w:rPr>
          <w:lang w:val="en-US"/>
        </w:rPr>
        <w:t>AmericasBarometer</w:t>
      </w:r>
      <w:proofErr w:type="spellEnd"/>
      <w:r w:rsidRPr="00893440">
        <w:rPr>
          <w:lang w:val="en-US"/>
        </w:rPr>
        <w:t xml:space="preserve"> and the Mexican Presidency. Their findings challenge conventional wisdom, revealing that being a victim of a crime significantly diminishes approval, with the effect of security performance surpassing that of economic indicators. Importantly, the study suggests an incentive structure where presidents prioritize symbolic actions over crime reduction to maintain popularity.</w:t>
      </w:r>
    </w:p>
    <w:p w14:paraId="435461CE" w14:textId="77777777" w:rsidR="00893440" w:rsidRPr="00893440" w:rsidRDefault="00893440" w:rsidP="00893440">
      <w:pPr>
        <w:rPr>
          <w:lang w:val="en-US"/>
        </w:rPr>
      </w:pPr>
    </w:p>
    <w:p w14:paraId="1738FD66" w14:textId="77777777" w:rsidR="00893440" w:rsidRPr="00893440" w:rsidRDefault="00893440" w:rsidP="00893440">
      <w:pPr>
        <w:rPr>
          <w:lang w:val="en-US"/>
        </w:rPr>
      </w:pPr>
      <w:r w:rsidRPr="00893440">
        <w:rPr>
          <w:lang w:val="en-US"/>
        </w:rPr>
        <w:t xml:space="preserve">In a parallel exploration, Doyle and García (2019) shift the focus to the influence of remittances on public security perceptions, personal safety, and presidential approval. Contrary to the economic vote hypothesis, they propose that remittances in Mexico impact approval through enhanced security perceptions, given the nation's high crime rates. The study utilizes individual data from Mexico spanning 2006–2017, demonstrating that remittance recipients report higher perceived safety and better national security evaluations. Importantly, they employ causal mediation analysis, revealing that nearly a quarter of the effect of remittances on </w:t>
      </w:r>
      <w:proofErr w:type="spellStart"/>
      <w:r w:rsidRPr="00893440">
        <w:rPr>
          <w:lang w:val="en-US"/>
        </w:rPr>
        <w:t>sociotropic</w:t>
      </w:r>
      <w:proofErr w:type="spellEnd"/>
      <w:r w:rsidRPr="00893440">
        <w:rPr>
          <w:lang w:val="en-US"/>
        </w:rPr>
        <w:t xml:space="preserve"> security evaluations is mediated through improved perceptions of personal safety.</w:t>
      </w:r>
    </w:p>
    <w:p w14:paraId="005DDDAB" w14:textId="77777777" w:rsidR="00893440" w:rsidRPr="00893440" w:rsidRDefault="00893440" w:rsidP="00893440">
      <w:pPr>
        <w:rPr>
          <w:lang w:val="en-US"/>
        </w:rPr>
      </w:pPr>
    </w:p>
    <w:p w14:paraId="2C0D91A9" w14:textId="77777777" w:rsidR="00893440" w:rsidRPr="00893440" w:rsidRDefault="00893440" w:rsidP="00893440">
      <w:pPr>
        <w:rPr>
          <w:lang w:val="en-US"/>
        </w:rPr>
      </w:pPr>
      <w:r w:rsidRPr="00893440">
        <w:rPr>
          <w:lang w:val="en-US"/>
        </w:rPr>
        <w:t>Comparing these studies, both converge on the significance of security in shaping presidential approval. However, they differ in their emphasis – Romero et al. underscore the importance of symbolic actions and a strong presidential stance on security, while Doyle and García highlight the role of remittances in shaping security perceptions. Moreover, the studies diverge in their treatment of economic considerations. Romero et al. challenge earlier findings, suggesting citizens prioritize security over economic concerns during security crises. In contrast, Doyle and García argue that remittances, by alleviating economic pressures associated with crime, contribute to improved security evaluations and, consequently, presidential approval.</w:t>
      </w:r>
    </w:p>
    <w:p w14:paraId="1F99BE24" w14:textId="77777777" w:rsidR="00893440" w:rsidRPr="00893440" w:rsidRDefault="00893440" w:rsidP="00893440">
      <w:pPr>
        <w:rPr>
          <w:lang w:val="en-US"/>
        </w:rPr>
      </w:pPr>
    </w:p>
    <w:p w14:paraId="2738DAF6" w14:textId="6820205A" w:rsidR="00893440" w:rsidRDefault="00893440" w:rsidP="00893440">
      <w:pPr>
        <w:rPr>
          <w:lang w:val="en-US"/>
        </w:rPr>
      </w:pPr>
      <w:r w:rsidRPr="00893440">
        <w:rPr>
          <w:lang w:val="en-US"/>
        </w:rPr>
        <w:t>In conclusion, these two studies collectively contribute to our nuanced understanding of the multifaceted dynamics between presidential approval, public security, and remittances in Mexico. They shed light on the complex interplay of factors influencing public opinion in the context of security challenges, offering valuable insights for scholars, policymakers, and practitioners.</w:t>
      </w:r>
    </w:p>
    <w:p w14:paraId="7E53B69C" w14:textId="77777777" w:rsidR="00EF2638" w:rsidRDefault="00EF2638" w:rsidP="00893440">
      <w:pPr>
        <w:rPr>
          <w:lang w:val="en-US"/>
        </w:rPr>
      </w:pPr>
    </w:p>
    <w:p w14:paraId="7819AB9A" w14:textId="77777777" w:rsidR="00EF2638" w:rsidRPr="00EF2638" w:rsidRDefault="00EF2638" w:rsidP="00EF2638">
      <w:pPr>
        <w:rPr>
          <w:lang w:val="en-US"/>
        </w:rPr>
      </w:pPr>
      <w:r w:rsidRPr="00EF2638">
        <w:rPr>
          <w:lang w:val="en-US"/>
        </w:rPr>
        <w:t xml:space="preserve">Presidential approval and public security intertwine in Mexico's War on Crime, as explored by Romero, </w:t>
      </w:r>
      <w:proofErr w:type="spellStart"/>
      <w:r w:rsidRPr="00EF2638">
        <w:rPr>
          <w:lang w:val="en-US"/>
        </w:rPr>
        <w:t>Magaloni</w:t>
      </w:r>
      <w:proofErr w:type="spellEnd"/>
      <w:r w:rsidRPr="00EF2638">
        <w:rPr>
          <w:lang w:val="en-US"/>
        </w:rPr>
        <w:t>, and Díaz-</w:t>
      </w:r>
      <w:proofErr w:type="spellStart"/>
      <w:r w:rsidRPr="00EF2638">
        <w:rPr>
          <w:lang w:val="en-US"/>
        </w:rPr>
        <w:t>Cayeros</w:t>
      </w:r>
      <w:proofErr w:type="spellEnd"/>
      <w:r w:rsidRPr="00EF2638">
        <w:rPr>
          <w:lang w:val="en-US"/>
        </w:rPr>
        <w:t xml:space="preserve"> (2016). The study responds to the scarcity of works linking these variables, noting the conventional association of crime with local authorities. Drawing on surveys from the </w:t>
      </w:r>
      <w:proofErr w:type="spellStart"/>
      <w:r w:rsidRPr="00EF2638">
        <w:rPr>
          <w:lang w:val="en-US"/>
        </w:rPr>
        <w:t>AmericasBarometer</w:t>
      </w:r>
      <w:proofErr w:type="spellEnd"/>
      <w:r w:rsidRPr="00EF2638">
        <w:rPr>
          <w:lang w:val="en-US"/>
        </w:rPr>
        <w:t xml:space="preserve"> and the Mexican Presidency, the authors reveal a significant decrease in approval for those victimized by crime, challenging earlier findings that local authorities are the primary focus in criminal matters (Arnold and Carnes, 2012; </w:t>
      </w:r>
      <w:proofErr w:type="spellStart"/>
      <w:r w:rsidRPr="00EF2638">
        <w:rPr>
          <w:lang w:val="en-US"/>
        </w:rPr>
        <w:t>Chevigny</w:t>
      </w:r>
      <w:proofErr w:type="spellEnd"/>
      <w:r w:rsidRPr="00EF2638">
        <w:rPr>
          <w:lang w:val="en-US"/>
        </w:rPr>
        <w:t xml:space="preserve">, 2003; </w:t>
      </w:r>
      <w:proofErr w:type="spellStart"/>
      <w:r w:rsidRPr="00EF2638">
        <w:rPr>
          <w:lang w:val="en-US"/>
        </w:rPr>
        <w:t>Devroe</w:t>
      </w:r>
      <w:proofErr w:type="spellEnd"/>
      <w:r w:rsidRPr="00EF2638">
        <w:rPr>
          <w:lang w:val="en-US"/>
        </w:rPr>
        <w:t>, 2013). In contrast to economic considerations, the study accentuates the pronounced impact of security performance on approval, proposing an incentive structure where presidents prioritize symbolic actions over crime reduction (Romero, 2013).</w:t>
      </w:r>
    </w:p>
    <w:p w14:paraId="0BD9225E" w14:textId="77777777" w:rsidR="00EF2638" w:rsidRPr="00EF2638" w:rsidRDefault="00EF2638" w:rsidP="00EF2638">
      <w:pPr>
        <w:rPr>
          <w:lang w:val="en-US"/>
        </w:rPr>
      </w:pPr>
    </w:p>
    <w:p w14:paraId="24082786" w14:textId="1D56D423" w:rsidR="00EF2638" w:rsidRPr="00EF2638" w:rsidRDefault="00EF2638" w:rsidP="00EF2638">
      <w:pPr>
        <w:rPr>
          <w:lang w:val="en-US"/>
        </w:rPr>
      </w:pPr>
      <w:r w:rsidRPr="00EF2638">
        <w:rPr>
          <w:lang w:val="en-US"/>
        </w:rPr>
        <w:lastRenderedPageBreak/>
        <w:t xml:space="preserve">In a shift of focus, Doyle and García (2019) investigate the influence of remittances on perceptions of public security, personal safety, and presidential approval. The authors cite literature linking remittances to increased approval through an economic vote (Ahmed, 2017; </w:t>
      </w:r>
      <w:r w:rsidRPr="00A41D95">
        <w:rPr>
          <w:highlight w:val="cyan"/>
          <w:lang w:val="en-US"/>
        </w:rPr>
        <w:t xml:space="preserve">Bravo, 2012; </w:t>
      </w:r>
      <w:r w:rsidR="00A06977" w:rsidRPr="00A06977">
        <w:rPr>
          <w:highlight w:val="magenta"/>
          <w:lang w:val="en-US"/>
        </w:rPr>
        <w:t>@g</w:t>
      </w:r>
      <w:r w:rsidRPr="00A06977">
        <w:rPr>
          <w:highlight w:val="magenta"/>
          <w:lang w:val="en-US"/>
        </w:rPr>
        <w:t>ermano</w:t>
      </w:r>
      <w:r w:rsidR="00A06977" w:rsidRPr="00A06977">
        <w:rPr>
          <w:highlight w:val="magenta"/>
          <w:lang w:val="en-US"/>
        </w:rPr>
        <w:t>_</w:t>
      </w:r>
      <w:r w:rsidRPr="00A06977">
        <w:rPr>
          <w:highlight w:val="magenta"/>
          <w:lang w:val="en-US"/>
        </w:rPr>
        <w:t>2013</w:t>
      </w:r>
      <w:r w:rsidRPr="00A41D95">
        <w:rPr>
          <w:highlight w:val="cyan"/>
          <w:lang w:val="en-US"/>
        </w:rPr>
        <w:t xml:space="preserve">, 2018; </w:t>
      </w:r>
      <w:proofErr w:type="spellStart"/>
      <w:r w:rsidRPr="00A41D95">
        <w:rPr>
          <w:highlight w:val="cyan"/>
          <w:lang w:val="en-US"/>
        </w:rPr>
        <w:t>Tertytchnaya</w:t>
      </w:r>
      <w:proofErr w:type="spellEnd"/>
      <w:r w:rsidRPr="00A41D95">
        <w:rPr>
          <w:highlight w:val="cyan"/>
          <w:lang w:val="en-US"/>
        </w:rPr>
        <w:t xml:space="preserve"> et al., 2018)</w:t>
      </w:r>
      <w:r w:rsidRPr="00EF2638">
        <w:rPr>
          <w:lang w:val="en-US"/>
        </w:rPr>
        <w:t xml:space="preserve"> but propose that, in contexts where presidents are evaluated on security issues (Romero, </w:t>
      </w:r>
      <w:proofErr w:type="spellStart"/>
      <w:r w:rsidRPr="00EF2638">
        <w:rPr>
          <w:lang w:val="en-US"/>
        </w:rPr>
        <w:t>Magaloni</w:t>
      </w:r>
      <w:proofErr w:type="spellEnd"/>
      <w:r w:rsidRPr="00EF2638">
        <w:rPr>
          <w:lang w:val="en-US"/>
        </w:rPr>
        <w:t>, and Díaz-</w:t>
      </w:r>
      <w:proofErr w:type="spellStart"/>
      <w:r w:rsidRPr="00EF2638">
        <w:rPr>
          <w:lang w:val="en-US"/>
        </w:rPr>
        <w:t>Cayeros</w:t>
      </w:r>
      <w:proofErr w:type="spellEnd"/>
      <w:r w:rsidRPr="00EF2638">
        <w:rPr>
          <w:lang w:val="en-US"/>
        </w:rPr>
        <w:t xml:space="preserve">, 2016), remittances may impact approval through enhanced security perceptions. Utilizing Mexican data (2006–2017), the study reveals that remittance recipients report higher levels of perceived personal safety and better national security evaluations. In contrast to Romero et al. (2016), the study suggests that remittances, while positively associated with approval, do not have a statistically significant effect. </w:t>
      </w:r>
      <w:proofErr w:type="spellStart"/>
      <w:r w:rsidRPr="00EF2638">
        <w:rPr>
          <w:lang w:val="en-US"/>
        </w:rPr>
        <w:t>Sociotropic</w:t>
      </w:r>
      <w:proofErr w:type="spellEnd"/>
      <w:r w:rsidRPr="00EF2638">
        <w:rPr>
          <w:lang w:val="en-US"/>
        </w:rPr>
        <w:t xml:space="preserve"> evaluations of public security strongly and significantly influence approval levels.</w:t>
      </w:r>
    </w:p>
    <w:p w14:paraId="67E0FC12" w14:textId="77777777" w:rsidR="00EF2638" w:rsidRPr="00EF2638" w:rsidRDefault="00EF2638" w:rsidP="00EF2638">
      <w:pPr>
        <w:rPr>
          <w:lang w:val="en-US"/>
        </w:rPr>
      </w:pPr>
    </w:p>
    <w:p w14:paraId="3D3327D0" w14:textId="77777777" w:rsidR="00EF2638" w:rsidRPr="00EF2638" w:rsidRDefault="00EF2638" w:rsidP="00EF2638">
      <w:pPr>
        <w:rPr>
          <w:lang w:val="en-US"/>
        </w:rPr>
      </w:pPr>
      <w:r w:rsidRPr="00EF2638">
        <w:rPr>
          <w:lang w:val="en-US"/>
        </w:rPr>
        <w:t>Comparing the two studies, both converge on the significance of security in influencing presidential approval in Mexico. Romero et al. underscore the importance of symbolic actions and a strong presidential stance on security, whereas Doyle and García highlight the role of remittances in shaping security perceptions and influencing approval. Additionally, the studies differ in their treatment of economic considerations. Romero et al. challenge earlier findings, suggesting that citizens prioritize security over economic concerns during security crises. In contrast, Doyle and García argue that remittances contribute to improved security evaluations and, consequently, presidential approval by alleviating economic pressures associated with crime.</w:t>
      </w:r>
    </w:p>
    <w:p w14:paraId="6E8B3844" w14:textId="77777777" w:rsidR="00EF2638" w:rsidRPr="00EF2638" w:rsidRDefault="00EF2638" w:rsidP="00EF2638">
      <w:pPr>
        <w:rPr>
          <w:lang w:val="en-US"/>
        </w:rPr>
      </w:pPr>
    </w:p>
    <w:p w14:paraId="245E4D77" w14:textId="6DFA8382" w:rsidR="00EF2638" w:rsidRDefault="00EF2638" w:rsidP="00EF2638">
      <w:pPr>
        <w:rPr>
          <w:lang w:val="en-US"/>
        </w:rPr>
      </w:pPr>
      <w:r w:rsidRPr="00EF2638">
        <w:rPr>
          <w:lang w:val="en-US"/>
        </w:rPr>
        <w:t>In conclusion, these two studies offer complementary insights into the complex dynamics of presidential approval, public security, and remittances in Mexico. By enriching our understanding of the multifaceted relationship between these key variables, they contribute to a more nuanced comprehension of the factors shaping public opinion in the context of crime and security challenges.</w:t>
      </w:r>
    </w:p>
    <w:p w14:paraId="46CF7457" w14:textId="77777777" w:rsidR="00893440" w:rsidRDefault="00893440" w:rsidP="00E537AE">
      <w:pPr>
        <w:rPr>
          <w:lang w:val="en-US"/>
        </w:rPr>
      </w:pPr>
    </w:p>
    <w:p w14:paraId="4696E6F6" w14:textId="5E9112AA" w:rsidR="00892541" w:rsidRPr="00E537AE" w:rsidRDefault="00892541" w:rsidP="00892541">
      <w:pPr>
        <w:rPr>
          <w:lang w:val="en-US"/>
        </w:rPr>
      </w:pPr>
      <w:r w:rsidRPr="007A133D">
        <w:rPr>
          <w:lang w:val="en-US"/>
        </w:rPr>
        <w:t>While the political consequences of immigration in receiving states have been extensively studied, the political effects of remittances on the countries or individuals receiving them remain relatively unexplored</w:t>
      </w:r>
      <w:r w:rsidR="000B552F">
        <w:rPr>
          <w:lang w:val="en-US"/>
        </w:rPr>
        <w:t xml:space="preserve"> </w:t>
      </w:r>
      <w:r w:rsidR="00D1067C">
        <w:rPr>
          <w:lang w:val="en-US"/>
        </w:rPr>
        <w:t>[</w:t>
      </w:r>
      <w:r w:rsidR="00D1067C" w:rsidRPr="00832A08">
        <w:rPr>
          <w:highlight w:val="magenta"/>
          <w:lang w:val="en-US"/>
        </w:rPr>
        <w:t>@doyles_2018</w:t>
      </w:r>
      <w:r w:rsidR="00D1067C">
        <w:rPr>
          <w:lang w:val="en-US"/>
        </w:rPr>
        <w:t>]</w:t>
      </w:r>
      <w:r w:rsidRPr="007A133D">
        <w:rPr>
          <w:lang w:val="en-US"/>
        </w:rPr>
        <w:t xml:space="preserve">. The literature suggests that remittances can influence exchange rate policy, citizenship requirements, public accountability, and the strategies adopted by political parties, including clientelism </w:t>
      </w:r>
      <w:r w:rsidR="000B552F">
        <w:rPr>
          <w:lang w:val="en-US"/>
        </w:rPr>
        <w:t>[</w:t>
      </w:r>
      <w:r w:rsidR="000B552F" w:rsidRPr="00832A08">
        <w:rPr>
          <w:highlight w:val="magenta"/>
          <w:lang w:val="en-US"/>
        </w:rPr>
        <w:t>@doyles_2018</w:t>
      </w:r>
      <w:r w:rsidR="000B552F">
        <w:rPr>
          <w:lang w:val="en-US"/>
        </w:rPr>
        <w:t>]</w:t>
      </w:r>
      <w:r w:rsidRPr="007A133D">
        <w:rPr>
          <w:lang w:val="en-US"/>
        </w:rPr>
        <w:t>.</w:t>
      </w:r>
      <w:r>
        <w:rPr>
          <w:lang w:val="en-US"/>
        </w:rPr>
        <w:t xml:space="preserve"> </w:t>
      </w:r>
      <w:r w:rsidRPr="00EC6BD4">
        <w:rPr>
          <w:highlight w:val="yellow"/>
          <w:lang w:val="en-US"/>
        </w:rPr>
        <w:t>Remittances emerge as a vital economic component for Mexico, surpassing manufacturing exports and tourism as the main net foreign-exchange generator (Cañas and Pranger 2023). Constituting 4.5 percent of Mexico's GDP in 2022, remittances alleviate poverty, reduce regional economic disparities, and serve as a stable source of income. The economic implications are far-reaching, diminishing the government's reliance on overseas borrowing during crises.</w:t>
      </w:r>
      <w:r w:rsidRPr="009C59A6">
        <w:rPr>
          <w:lang w:val="en-US"/>
        </w:rPr>
        <w:t xml:space="preserve"> </w:t>
      </w:r>
      <w:r w:rsidRPr="007A133D">
        <w:rPr>
          <w:lang w:val="en-US"/>
        </w:rPr>
        <w:t xml:space="preserve">The literature suggests that remittances can have insurance and consumption effects, increasing economic optimism and support for incumbents, especially in contexts where economic performance is largely driven by exogenous shocks </w:t>
      </w:r>
      <w:r w:rsidR="000B552F">
        <w:rPr>
          <w:lang w:val="en-US"/>
        </w:rPr>
        <w:t>[</w:t>
      </w:r>
      <w:r w:rsidR="000B552F" w:rsidRPr="00832A08">
        <w:rPr>
          <w:highlight w:val="magenta"/>
          <w:lang w:val="en-US"/>
        </w:rPr>
        <w:t>@doyles_2018</w:t>
      </w:r>
      <w:r w:rsidR="000B552F">
        <w:rPr>
          <w:lang w:val="en-US"/>
        </w:rPr>
        <w:t>]</w:t>
      </w:r>
      <w:r w:rsidRPr="007A133D">
        <w:rPr>
          <w:lang w:val="en-US"/>
        </w:rPr>
        <w:t>.</w:t>
      </w:r>
      <w:r>
        <w:rPr>
          <w:lang w:val="en-US"/>
        </w:rPr>
        <w:t xml:space="preserve"> </w:t>
      </w:r>
      <w:r w:rsidRPr="00E537AE">
        <w:rPr>
          <w:lang w:val="en-US"/>
        </w:rPr>
        <w:t>Cañas and Pranger (2023)</w:t>
      </w:r>
      <w:r>
        <w:rPr>
          <w:lang w:val="en-US"/>
        </w:rPr>
        <w:t xml:space="preserve"> </w:t>
      </w:r>
      <w:r w:rsidRPr="00E537AE">
        <w:rPr>
          <w:lang w:val="en-US"/>
        </w:rPr>
        <w:t xml:space="preserve">emphasize the oversight in neglecting the political dimensions of remittances. Their study builds on existing literature showing that remittances influence exchange rate policy, public accountability, and political party strategies (Singer 2010; Leblang 2017; </w:t>
      </w:r>
      <w:proofErr w:type="spellStart"/>
      <w:r w:rsidRPr="00E537AE">
        <w:rPr>
          <w:lang w:val="en-US"/>
        </w:rPr>
        <w:t>Abdih</w:t>
      </w:r>
      <w:proofErr w:type="spellEnd"/>
      <w:r w:rsidRPr="00E537AE">
        <w:rPr>
          <w:lang w:val="en-US"/>
        </w:rPr>
        <w:t xml:space="preserve"> et </w:t>
      </w:r>
      <w:r w:rsidRPr="00E537AE">
        <w:rPr>
          <w:lang w:val="en-US"/>
        </w:rPr>
        <w:lastRenderedPageBreak/>
        <w:t>al. 2012; Tyburski 2012). It sheds light on how remittances, a significant source of income, can shape individuals' economic evaluations and, consequently, influence political attitudes.</w:t>
      </w:r>
    </w:p>
    <w:p w14:paraId="1CBD75E1" w14:textId="77777777" w:rsidR="004C6757" w:rsidRDefault="004C6757" w:rsidP="00E537AE">
      <w:pPr>
        <w:rPr>
          <w:lang w:val="en-US"/>
        </w:rPr>
      </w:pPr>
    </w:p>
    <w:p w14:paraId="5E342CD7" w14:textId="33F61FDF" w:rsidR="00B81A77" w:rsidRDefault="00E537AE" w:rsidP="00E537AE">
      <w:pPr>
        <w:rPr>
          <w:lang w:val="en-US"/>
        </w:rPr>
      </w:pPr>
      <w:r w:rsidRPr="00E537AE">
        <w:rPr>
          <w:lang w:val="en-US"/>
        </w:rPr>
        <w:t>Cañas and Pranger (2023) also highlight potential challenges and risks associated with remittances, including the risk of illicit funds from drug cartels. While regulations exist, there is a concern that a fraction of remittances could be linked to illegal activities, posing potential money laundering risks.</w:t>
      </w:r>
      <w:r w:rsidR="004C6757">
        <w:rPr>
          <w:lang w:val="en-US"/>
        </w:rPr>
        <w:t xml:space="preserve"> </w:t>
      </w:r>
      <w:r w:rsidRPr="00E537AE">
        <w:rPr>
          <w:lang w:val="en-US"/>
        </w:rPr>
        <w:t>From shaping political attitudes and influencing incumbent approval to serving as a vital economic lifeline for households and nations, remittances prove to be a complex and influential force in our interconnected global landscape. Understanding these dynamics is crucial for a comprehensive analysis of the impact of remittances on both sending and receiving economies, contributing to informed policymaking and academic discourse.</w:t>
      </w:r>
    </w:p>
    <w:p w14:paraId="1CE02E03" w14:textId="77777777" w:rsidR="00E537AE" w:rsidRDefault="00E537AE" w:rsidP="00E537AE">
      <w:pPr>
        <w:rPr>
          <w:lang w:val="en-US"/>
        </w:rPr>
      </w:pPr>
    </w:p>
    <w:p w14:paraId="0CBDDDDF" w14:textId="3AB82491" w:rsidR="00A473F5" w:rsidRDefault="000D53EF" w:rsidP="006D19BA">
      <w:pPr>
        <w:rPr>
          <w:lang w:val="en-US"/>
        </w:rPr>
      </w:pPr>
      <w:r>
        <w:rPr>
          <w:lang w:val="en-US"/>
        </w:rPr>
        <w:t>##</w:t>
      </w:r>
      <w:r w:rsidR="00F478F8">
        <w:rPr>
          <w:lang w:val="en-US"/>
        </w:rPr>
        <w:t xml:space="preserve"> </w:t>
      </w:r>
      <w:r w:rsidR="00FD0E24">
        <w:rPr>
          <w:lang w:val="en-US"/>
        </w:rPr>
        <w:t>Research Design and Data</w:t>
      </w:r>
    </w:p>
    <w:p w14:paraId="1397628C" w14:textId="3AF52AAE" w:rsidR="00830A5D" w:rsidRDefault="00830A5D" w:rsidP="006D19BA">
      <w:pPr>
        <w:rPr>
          <w:lang w:val="en-US"/>
        </w:rPr>
      </w:pPr>
    </w:p>
    <w:p w14:paraId="5B3AA8D2" w14:textId="69971230" w:rsidR="0018640F" w:rsidRDefault="00E24549" w:rsidP="006D19BA">
      <w:pPr>
        <w:rPr>
          <w:lang w:val="en-US"/>
        </w:rPr>
      </w:pPr>
      <w:r>
        <w:rPr>
          <w:lang w:val="en-US"/>
        </w:rPr>
        <w:t xml:space="preserve">I will replicate the sample by CZ16 </w:t>
      </w:r>
      <w:proofErr w:type="gramStart"/>
      <w:r>
        <w:rPr>
          <w:lang w:val="en-US"/>
        </w:rPr>
        <w:t>in order to</w:t>
      </w:r>
      <w:proofErr w:type="gramEnd"/>
      <w:r>
        <w:rPr>
          <w:lang w:val="en-US"/>
        </w:rPr>
        <w:t xml:space="preserve"> see the position of Mexico as well as its peers of Central America.</w:t>
      </w:r>
      <w:r w:rsidR="007C47D8">
        <w:rPr>
          <w:lang w:val="en-US"/>
        </w:rPr>
        <w:t xml:space="preserve"> This study will focus solely on Mexico but as discussed earlier, the central region might share more </w:t>
      </w:r>
      <w:r w:rsidR="00AC7249">
        <w:rPr>
          <w:lang w:val="en-US"/>
        </w:rPr>
        <w:t xml:space="preserve">similitudes that could allow for an extension of the GET Index to </w:t>
      </w:r>
      <w:proofErr w:type="gramStart"/>
      <w:r w:rsidR="00AC7249">
        <w:rPr>
          <w:lang w:val="en-US"/>
        </w:rPr>
        <w:t>this countries</w:t>
      </w:r>
      <w:proofErr w:type="gramEnd"/>
      <w:r w:rsidR="00AC7249">
        <w:rPr>
          <w:lang w:val="en-US"/>
        </w:rPr>
        <w:t>.</w:t>
      </w:r>
    </w:p>
    <w:p w14:paraId="7E3605D5" w14:textId="77777777" w:rsidR="0018640F" w:rsidRDefault="0018640F" w:rsidP="006D19BA">
      <w:pPr>
        <w:rPr>
          <w:lang w:val="en-US"/>
        </w:rPr>
      </w:pPr>
    </w:p>
    <w:p w14:paraId="2DFE6153" w14:textId="2BA661B2" w:rsidR="00AC7249" w:rsidRDefault="00E93327" w:rsidP="00AC7249">
      <w:pPr>
        <w:rPr>
          <w:lang w:val="en-US"/>
        </w:rPr>
      </w:pPr>
      <w:r>
        <w:rPr>
          <w:lang w:val="en-US"/>
        </w:rPr>
        <w:t>-</w:t>
      </w:r>
      <w:proofErr w:type="gramStart"/>
      <w:r>
        <w:rPr>
          <w:lang w:val="en-US"/>
        </w:rPr>
        <w:tab/>
      </w:r>
      <w:r w:rsidR="00AC7249" w:rsidRPr="00E423EF">
        <w:rPr>
          <w:lang w:val="en-US"/>
        </w:rPr>
        <w:t>![</w:t>
      </w:r>
      <w:proofErr w:type="gramEnd"/>
      <w:r w:rsidR="007104D7" w:rsidRPr="007104D7">
        <w:rPr>
          <w:lang w:val="en-US"/>
        </w:rPr>
        <w:t xml:space="preserve"> Debt Service Share</w:t>
      </w:r>
      <w:r w:rsidR="007104D7">
        <w:rPr>
          <w:lang w:val="en-US"/>
        </w:rPr>
        <w:t xml:space="preserve"> and Commodity Dependence</w:t>
      </w:r>
      <w:r w:rsidR="00AC7249" w:rsidRPr="00E423EF">
        <w:rPr>
          <w:lang w:val="en-US"/>
        </w:rPr>
        <w:t>](</w:t>
      </w:r>
      <w:r w:rsidR="009332B0">
        <w:rPr>
          <w:lang w:val="en-US"/>
        </w:rPr>
        <w:t>com_debt_latam</w:t>
      </w:r>
      <w:r w:rsidR="00AC7249" w:rsidRPr="00E423EF">
        <w:rPr>
          <w:lang w:val="en-US"/>
        </w:rPr>
        <w:t>.png){ width=100% height=100% #fig:label .center}</w:t>
      </w:r>
    </w:p>
    <w:p w14:paraId="28ED2DAF" w14:textId="77777777" w:rsidR="00AC7249" w:rsidRDefault="00AC7249" w:rsidP="006D19BA">
      <w:pPr>
        <w:rPr>
          <w:lang w:val="en-US"/>
        </w:rPr>
      </w:pPr>
    </w:p>
    <w:p w14:paraId="18D68C1C" w14:textId="4A04A855" w:rsidR="0029549C" w:rsidRDefault="00961618" w:rsidP="006D19BA">
      <w:pPr>
        <w:rPr>
          <w:lang w:val="en-US"/>
        </w:rPr>
      </w:pPr>
      <w:r>
        <w:rPr>
          <w:lang w:val="en-US"/>
        </w:rPr>
        <w:t>-</w:t>
      </w:r>
      <w:r>
        <w:rPr>
          <w:lang w:val="en-US"/>
        </w:rPr>
        <w:tab/>
      </w:r>
      <w:r w:rsidR="00084309">
        <w:rPr>
          <w:lang w:val="en-US"/>
        </w:rPr>
        <w:t>First,</w:t>
      </w:r>
      <w:r w:rsidR="00830A5D">
        <w:rPr>
          <w:lang w:val="en-US"/>
        </w:rPr>
        <w:t xml:space="preserve"> I will </w:t>
      </w:r>
      <w:r w:rsidR="00D0719E">
        <w:rPr>
          <w:lang w:val="en-US"/>
        </w:rPr>
        <w:t>replicate the original GET inde</w:t>
      </w:r>
      <w:r w:rsidR="0029549C">
        <w:rPr>
          <w:lang w:val="en-US"/>
        </w:rPr>
        <w:t xml:space="preserve">x </w:t>
      </w:r>
      <w:r w:rsidR="0029549C" w:rsidRPr="00326C2C">
        <w:rPr>
          <w:highlight w:val="magenta"/>
          <w:lang w:val="en-US"/>
        </w:rPr>
        <w:t>combines monthly values of US 10 Year Treasury Constant Maturity Rate and UNCTAD’s "Free Market Commodity Prices" Index</w:t>
      </w:r>
      <w:r w:rsidR="0029549C">
        <w:rPr>
          <w:lang w:val="en-US"/>
        </w:rPr>
        <w:t>.</w:t>
      </w:r>
    </w:p>
    <w:p w14:paraId="27C1A601" w14:textId="77777777" w:rsidR="0029549C" w:rsidRDefault="0029549C" w:rsidP="006D19BA">
      <w:pPr>
        <w:rPr>
          <w:lang w:val="en-US"/>
        </w:rPr>
      </w:pPr>
    </w:p>
    <w:p w14:paraId="7E096C7F" w14:textId="27BDAF9E" w:rsidR="00A14B9C" w:rsidRDefault="00961618" w:rsidP="006D19BA">
      <w:pPr>
        <w:rPr>
          <w:lang w:val="en-US"/>
        </w:rPr>
      </w:pPr>
      <w:r>
        <w:rPr>
          <w:lang w:val="en-US"/>
        </w:rPr>
        <w:t>-</w:t>
      </w:r>
      <w:r>
        <w:rPr>
          <w:lang w:val="en-US"/>
        </w:rPr>
        <w:tab/>
      </w:r>
      <w:r w:rsidR="001D7F26">
        <w:rPr>
          <w:lang w:val="en-US"/>
        </w:rPr>
        <w:t>Second, I wi</w:t>
      </w:r>
      <w:r w:rsidR="001208B4">
        <w:rPr>
          <w:lang w:val="en-US"/>
        </w:rPr>
        <w:t xml:space="preserve">ll create a database with </w:t>
      </w:r>
      <w:r w:rsidR="008028FD">
        <w:rPr>
          <w:lang w:val="en-US"/>
        </w:rPr>
        <w:t>remittance flows from Latin American countries and the Top 10 remittance-receiving countries.</w:t>
      </w:r>
      <w:r w:rsidR="00FE044B">
        <w:rPr>
          <w:lang w:val="en-US"/>
        </w:rPr>
        <w:t xml:space="preserve"> </w:t>
      </w:r>
    </w:p>
    <w:p w14:paraId="36BADC02" w14:textId="77777777" w:rsidR="00A14B9C" w:rsidRDefault="00A14B9C" w:rsidP="006D19BA">
      <w:pPr>
        <w:rPr>
          <w:lang w:val="en-US"/>
        </w:rPr>
      </w:pPr>
    </w:p>
    <w:p w14:paraId="5CB9D876" w14:textId="307B3F5F" w:rsidR="00FE044B" w:rsidRDefault="00961618" w:rsidP="006D19BA">
      <w:pPr>
        <w:rPr>
          <w:lang w:val="en-US"/>
        </w:rPr>
      </w:pPr>
      <w:r>
        <w:rPr>
          <w:lang w:val="en-US"/>
        </w:rPr>
        <w:t>-</w:t>
      </w:r>
      <w:r>
        <w:rPr>
          <w:lang w:val="en-US"/>
        </w:rPr>
        <w:tab/>
      </w:r>
      <w:r w:rsidR="00FE044B">
        <w:rPr>
          <w:lang w:val="en-US"/>
        </w:rPr>
        <w:t xml:space="preserve">I will </w:t>
      </w:r>
      <w:proofErr w:type="gramStart"/>
      <w:r w:rsidR="00FE044B">
        <w:rPr>
          <w:lang w:val="en-US"/>
        </w:rPr>
        <w:t>take a look</w:t>
      </w:r>
      <w:proofErr w:type="gramEnd"/>
      <w:r w:rsidR="00FE044B">
        <w:rPr>
          <w:lang w:val="en-US"/>
        </w:rPr>
        <w:t xml:space="preserve"> at the most recent data (2022) and the historical trend since </w:t>
      </w:r>
      <w:r w:rsidR="00506FDE">
        <w:rPr>
          <w:lang w:val="en-US"/>
        </w:rPr>
        <w:t>the 1970’s.</w:t>
      </w:r>
    </w:p>
    <w:p w14:paraId="7535C0D5" w14:textId="05D661E4" w:rsidR="00E423EF" w:rsidRDefault="00961618" w:rsidP="006D19BA">
      <w:pPr>
        <w:rPr>
          <w:lang w:val="en-US"/>
        </w:rPr>
      </w:pPr>
      <w:r>
        <w:rPr>
          <w:lang w:val="en-US"/>
        </w:rPr>
        <w:t>-</w:t>
      </w:r>
      <w:proofErr w:type="gramStart"/>
      <w:r>
        <w:rPr>
          <w:lang w:val="en-US"/>
        </w:rPr>
        <w:tab/>
      </w:r>
      <w:r w:rsidR="00E423EF" w:rsidRPr="00E423EF">
        <w:rPr>
          <w:lang w:val="en-US"/>
        </w:rPr>
        <w:t>![</w:t>
      </w:r>
      <w:proofErr w:type="gramEnd"/>
      <w:r w:rsidR="00B51B0F">
        <w:rPr>
          <w:lang w:val="en-US"/>
        </w:rPr>
        <w:t>Remittance as % of GDP 2022</w:t>
      </w:r>
      <w:r w:rsidR="00E423EF" w:rsidRPr="00E423EF">
        <w:rPr>
          <w:lang w:val="en-US"/>
        </w:rPr>
        <w:t>](</w:t>
      </w:r>
      <w:r w:rsidR="00B51B0F">
        <w:rPr>
          <w:lang w:val="en-US"/>
        </w:rPr>
        <w:t>rem</w:t>
      </w:r>
      <w:r w:rsidR="003F738D">
        <w:rPr>
          <w:lang w:val="en-US"/>
        </w:rPr>
        <w:t>22</w:t>
      </w:r>
      <w:r w:rsidR="00B51B0F">
        <w:rPr>
          <w:lang w:val="en-US"/>
        </w:rPr>
        <w:t>_</w:t>
      </w:r>
      <w:r w:rsidR="003F738D">
        <w:rPr>
          <w:lang w:val="en-US"/>
        </w:rPr>
        <w:t>lat_top</w:t>
      </w:r>
      <w:r w:rsidR="00E423EF" w:rsidRPr="00E423EF">
        <w:rPr>
          <w:lang w:val="en-US"/>
        </w:rPr>
        <w:t>.png){ width=100% height=100% #fig:label .center}</w:t>
      </w:r>
    </w:p>
    <w:p w14:paraId="1840DB62" w14:textId="2BF69180" w:rsidR="001A3A77" w:rsidRDefault="00961618" w:rsidP="001A3A77">
      <w:pPr>
        <w:rPr>
          <w:lang w:val="en-US"/>
        </w:rPr>
      </w:pPr>
      <w:r>
        <w:rPr>
          <w:lang w:val="en-US"/>
        </w:rPr>
        <w:t>-</w:t>
      </w:r>
      <w:proofErr w:type="gramStart"/>
      <w:r>
        <w:rPr>
          <w:lang w:val="en-US"/>
        </w:rPr>
        <w:tab/>
      </w:r>
      <w:r w:rsidR="001A3A77" w:rsidRPr="00E423EF">
        <w:rPr>
          <w:lang w:val="en-US"/>
        </w:rPr>
        <w:t>![</w:t>
      </w:r>
      <w:proofErr w:type="gramEnd"/>
      <w:r w:rsidR="001A3A77">
        <w:rPr>
          <w:lang w:val="en-US"/>
        </w:rPr>
        <w:t>Remittance as % of GDP Historical</w:t>
      </w:r>
      <w:r w:rsidR="001A3A77" w:rsidRPr="00E423EF">
        <w:rPr>
          <w:lang w:val="en-US"/>
        </w:rPr>
        <w:t>](</w:t>
      </w:r>
      <w:r w:rsidR="003F738D">
        <w:rPr>
          <w:lang w:val="en-US"/>
        </w:rPr>
        <w:t>remhist_lat_top</w:t>
      </w:r>
      <w:r w:rsidR="001A3A77" w:rsidRPr="00E423EF">
        <w:rPr>
          <w:lang w:val="en-US"/>
        </w:rPr>
        <w:t>.png){ width=100% height=100% #fig:label .center}</w:t>
      </w:r>
    </w:p>
    <w:p w14:paraId="641B3BC1" w14:textId="77777777" w:rsidR="00A14B9C" w:rsidRDefault="00A14B9C" w:rsidP="001A3A77">
      <w:pPr>
        <w:rPr>
          <w:lang w:val="en-US"/>
        </w:rPr>
      </w:pPr>
    </w:p>
    <w:p w14:paraId="6849A6C1" w14:textId="71A1669C" w:rsidR="00A14B9C" w:rsidRDefault="00961618" w:rsidP="001A3A77">
      <w:pPr>
        <w:rPr>
          <w:lang w:val="en-US"/>
        </w:rPr>
      </w:pPr>
      <w:r>
        <w:rPr>
          <w:lang w:val="en-US"/>
        </w:rPr>
        <w:t>-</w:t>
      </w:r>
      <w:r>
        <w:rPr>
          <w:lang w:val="en-US"/>
        </w:rPr>
        <w:tab/>
      </w:r>
      <w:r w:rsidR="00A14B9C">
        <w:rPr>
          <w:lang w:val="en-US"/>
        </w:rPr>
        <w:t xml:space="preserve">Then, I will compare </w:t>
      </w:r>
      <w:r w:rsidR="00290521">
        <w:rPr>
          <w:lang w:val="en-US"/>
        </w:rPr>
        <w:t xml:space="preserve">the changes in Remittance Flows </w:t>
      </w:r>
      <w:r w:rsidR="003C48E7">
        <w:rPr>
          <w:lang w:val="en-US"/>
        </w:rPr>
        <w:t xml:space="preserve">using windows of </w:t>
      </w:r>
      <w:r w:rsidR="00211EE2">
        <w:rPr>
          <w:lang w:val="en-US"/>
        </w:rPr>
        <w:t>1, 5, and 10 years in both groups.</w:t>
      </w:r>
    </w:p>
    <w:p w14:paraId="336FB2A6" w14:textId="551CF69B" w:rsidR="00211EE2" w:rsidRDefault="00961618" w:rsidP="00211EE2">
      <w:pPr>
        <w:rPr>
          <w:lang w:val="en-US"/>
        </w:rPr>
      </w:pPr>
      <w:r>
        <w:rPr>
          <w:lang w:val="en-US"/>
        </w:rPr>
        <w:lastRenderedPageBreak/>
        <w:t>-</w:t>
      </w:r>
      <w:proofErr w:type="gramStart"/>
      <w:r>
        <w:rPr>
          <w:lang w:val="en-US"/>
        </w:rPr>
        <w:tab/>
      </w:r>
      <w:r w:rsidR="00211EE2" w:rsidRPr="00E423EF">
        <w:rPr>
          <w:lang w:val="en-US"/>
        </w:rPr>
        <w:t>![</w:t>
      </w:r>
      <w:proofErr w:type="gramEnd"/>
      <w:r w:rsidR="00211EE2">
        <w:rPr>
          <w:lang w:val="en-US"/>
        </w:rPr>
        <w:t xml:space="preserve">Remittance % </w:t>
      </w:r>
      <w:r w:rsidR="00822C52">
        <w:rPr>
          <w:lang w:val="en-US"/>
        </w:rPr>
        <w:t xml:space="preserve">Change </w:t>
      </w:r>
      <w:proofErr w:type="spellStart"/>
      <w:r w:rsidR="00822C52">
        <w:rPr>
          <w:lang w:val="en-US"/>
        </w:rPr>
        <w:t>Latam</w:t>
      </w:r>
      <w:proofErr w:type="spellEnd"/>
      <w:r w:rsidR="00211EE2" w:rsidRPr="00E423EF">
        <w:rPr>
          <w:lang w:val="en-US"/>
        </w:rPr>
        <w:t>](</w:t>
      </w:r>
      <w:r w:rsidR="00211EE2">
        <w:rPr>
          <w:lang w:val="en-US"/>
        </w:rPr>
        <w:t>rem</w:t>
      </w:r>
      <w:r w:rsidR="00822C52">
        <w:rPr>
          <w:lang w:val="en-US"/>
        </w:rPr>
        <w:t>lat</w:t>
      </w:r>
      <w:r w:rsidR="00211EE2">
        <w:rPr>
          <w:lang w:val="en-US"/>
        </w:rPr>
        <w:t>_</w:t>
      </w:r>
      <w:r w:rsidR="00822C52">
        <w:rPr>
          <w:lang w:val="en-US"/>
        </w:rPr>
        <w:t>chg</w:t>
      </w:r>
      <w:r w:rsidR="00211EE2" w:rsidRPr="00E423EF">
        <w:rPr>
          <w:lang w:val="en-US"/>
        </w:rPr>
        <w:t>.png){ width=100% height=100% #fig:label .center}</w:t>
      </w:r>
    </w:p>
    <w:p w14:paraId="5F2556CE" w14:textId="154F61A3" w:rsidR="00211EE2" w:rsidRDefault="00961618" w:rsidP="00211EE2">
      <w:pPr>
        <w:rPr>
          <w:lang w:val="en-US"/>
        </w:rPr>
      </w:pPr>
      <w:r>
        <w:rPr>
          <w:lang w:val="en-US"/>
        </w:rPr>
        <w:t>-</w:t>
      </w:r>
      <w:proofErr w:type="gramStart"/>
      <w:r>
        <w:rPr>
          <w:lang w:val="en-US"/>
        </w:rPr>
        <w:tab/>
      </w:r>
      <w:r w:rsidR="00211EE2" w:rsidRPr="00E423EF">
        <w:rPr>
          <w:lang w:val="en-US"/>
        </w:rPr>
        <w:t>![</w:t>
      </w:r>
      <w:proofErr w:type="gramEnd"/>
      <w:r w:rsidR="00211EE2">
        <w:rPr>
          <w:lang w:val="en-US"/>
        </w:rPr>
        <w:t xml:space="preserve">Remittance % </w:t>
      </w:r>
      <w:r w:rsidR="002A4716">
        <w:rPr>
          <w:lang w:val="en-US"/>
        </w:rPr>
        <w:t xml:space="preserve">Change Top </w:t>
      </w:r>
      <w:proofErr w:type="spellStart"/>
      <w:r w:rsidR="002A4716">
        <w:rPr>
          <w:lang w:val="en-US"/>
        </w:rPr>
        <w:t>Receving</w:t>
      </w:r>
      <w:proofErr w:type="spellEnd"/>
      <w:r w:rsidR="00211EE2" w:rsidRPr="00E423EF">
        <w:rPr>
          <w:lang w:val="en-US"/>
        </w:rPr>
        <w:t>](</w:t>
      </w:r>
      <w:r w:rsidR="00211EE2">
        <w:rPr>
          <w:lang w:val="en-US"/>
        </w:rPr>
        <w:t>rem</w:t>
      </w:r>
      <w:r w:rsidR="002A4716">
        <w:rPr>
          <w:lang w:val="en-US"/>
        </w:rPr>
        <w:t>top</w:t>
      </w:r>
      <w:r w:rsidR="00211EE2">
        <w:rPr>
          <w:lang w:val="en-US"/>
        </w:rPr>
        <w:t>_</w:t>
      </w:r>
      <w:r w:rsidR="002A4716">
        <w:rPr>
          <w:lang w:val="en-US"/>
        </w:rPr>
        <w:t>chg</w:t>
      </w:r>
      <w:r w:rsidR="00211EE2" w:rsidRPr="00E423EF">
        <w:rPr>
          <w:lang w:val="en-US"/>
        </w:rPr>
        <w:t>.png){ width=100% height=100% #fig:label .center}</w:t>
      </w:r>
    </w:p>
    <w:p w14:paraId="5C6540B1" w14:textId="77777777" w:rsidR="00211EE2" w:rsidRDefault="00211EE2" w:rsidP="001A3A77">
      <w:pPr>
        <w:rPr>
          <w:lang w:val="en-US"/>
        </w:rPr>
      </w:pPr>
    </w:p>
    <w:p w14:paraId="2B69E347" w14:textId="329E5B15" w:rsidR="001A3A77" w:rsidRDefault="00961618" w:rsidP="006D0BE9">
      <w:pPr>
        <w:rPr>
          <w:lang w:val="en-US"/>
        </w:rPr>
      </w:pPr>
      <w:r>
        <w:rPr>
          <w:lang w:val="en-US"/>
        </w:rPr>
        <w:t>-</w:t>
      </w:r>
      <w:r>
        <w:rPr>
          <w:lang w:val="en-US"/>
        </w:rPr>
        <w:tab/>
      </w:r>
      <w:r w:rsidR="006D0BE9" w:rsidRPr="006D0BE9">
        <w:rPr>
          <w:lang w:val="en-US"/>
        </w:rPr>
        <w:t>Third</w:t>
      </w:r>
      <w:r w:rsidR="006D0BE9">
        <w:rPr>
          <w:lang w:val="en-US"/>
        </w:rPr>
        <w:t xml:space="preserve">, I will </w:t>
      </w:r>
      <w:r w:rsidR="001E08AF">
        <w:rPr>
          <w:lang w:val="en-US"/>
        </w:rPr>
        <w:t xml:space="preserve">create a database with </w:t>
      </w:r>
      <w:r w:rsidR="00B812AD" w:rsidRPr="00B812AD">
        <w:rPr>
          <w:lang w:val="en-US"/>
        </w:rPr>
        <w:t>monthly construction employment from the Bureau of Labor Statistics payroll survey and median hourly nominal construction sector 12-month wage growth from the Federal Reserve Bank of Atlanta’s wage growth tracker</w:t>
      </w:r>
      <w:r w:rsidR="00B812AD">
        <w:rPr>
          <w:lang w:val="en-US"/>
        </w:rPr>
        <w:t xml:space="preserve">. </w:t>
      </w:r>
    </w:p>
    <w:p w14:paraId="65CE6C24" w14:textId="59812377" w:rsidR="00DA115A" w:rsidRDefault="00961618" w:rsidP="00DA115A">
      <w:pPr>
        <w:rPr>
          <w:lang w:val="en-US"/>
        </w:rPr>
      </w:pPr>
      <w:r>
        <w:rPr>
          <w:lang w:val="en-US"/>
        </w:rPr>
        <w:t>-</w:t>
      </w:r>
      <w:proofErr w:type="gramStart"/>
      <w:r>
        <w:rPr>
          <w:lang w:val="en-US"/>
        </w:rPr>
        <w:tab/>
      </w:r>
      <w:r w:rsidR="00DA115A" w:rsidRPr="00E423EF">
        <w:rPr>
          <w:lang w:val="en-US"/>
        </w:rPr>
        <w:t>![</w:t>
      </w:r>
      <w:proofErr w:type="gramEnd"/>
      <w:r w:rsidR="00055059">
        <w:rPr>
          <w:lang w:val="en-US"/>
        </w:rPr>
        <w:t>Monthly Construction Employment</w:t>
      </w:r>
      <w:r w:rsidR="00DA115A" w:rsidRPr="00E423EF">
        <w:rPr>
          <w:lang w:val="en-US"/>
        </w:rPr>
        <w:t>](</w:t>
      </w:r>
      <w:r w:rsidR="00820293">
        <w:rPr>
          <w:lang w:val="en-US"/>
        </w:rPr>
        <w:t>const_emp</w:t>
      </w:r>
      <w:r w:rsidR="00DA115A" w:rsidRPr="00E423EF">
        <w:rPr>
          <w:lang w:val="en-US"/>
        </w:rPr>
        <w:t>.png){ width=</w:t>
      </w:r>
      <w:r w:rsidR="00C3496E">
        <w:rPr>
          <w:lang w:val="en-US"/>
        </w:rPr>
        <w:t>4</w:t>
      </w:r>
      <w:r w:rsidR="00C3496E" w:rsidRPr="00E423EF">
        <w:rPr>
          <w:lang w:val="en-US"/>
        </w:rPr>
        <w:t>0% height=</w:t>
      </w:r>
      <w:r w:rsidR="00C3496E">
        <w:rPr>
          <w:lang w:val="en-US"/>
        </w:rPr>
        <w:t>4</w:t>
      </w:r>
      <w:r w:rsidR="00C3496E" w:rsidRPr="00E423EF">
        <w:rPr>
          <w:lang w:val="en-US"/>
        </w:rPr>
        <w:t>0%</w:t>
      </w:r>
      <w:r w:rsidR="00DA115A" w:rsidRPr="00E423EF">
        <w:rPr>
          <w:lang w:val="en-US"/>
        </w:rPr>
        <w:t xml:space="preserve"> #fig:label .center}</w:t>
      </w:r>
    </w:p>
    <w:p w14:paraId="4F6DE7D5" w14:textId="41A64F18" w:rsidR="00820293" w:rsidRDefault="00961618" w:rsidP="00820293">
      <w:pPr>
        <w:rPr>
          <w:lang w:val="en-US"/>
        </w:rPr>
      </w:pPr>
      <w:r>
        <w:rPr>
          <w:lang w:val="en-US"/>
        </w:rPr>
        <w:t>-</w:t>
      </w:r>
      <w:proofErr w:type="gramStart"/>
      <w:r>
        <w:rPr>
          <w:lang w:val="en-US"/>
        </w:rPr>
        <w:tab/>
      </w:r>
      <w:r w:rsidR="00820293" w:rsidRPr="00E423EF">
        <w:rPr>
          <w:lang w:val="en-US"/>
        </w:rPr>
        <w:t>![</w:t>
      </w:r>
      <w:proofErr w:type="gramEnd"/>
      <w:r w:rsidR="002B241E">
        <w:rPr>
          <w:lang w:val="en-US"/>
        </w:rPr>
        <w:t>Median Hourly</w:t>
      </w:r>
      <w:r w:rsidR="00820293">
        <w:rPr>
          <w:lang w:val="en-US"/>
        </w:rPr>
        <w:t xml:space="preserve"> </w:t>
      </w:r>
      <w:r w:rsidR="002B241E">
        <w:rPr>
          <w:lang w:val="en-US"/>
        </w:rPr>
        <w:t xml:space="preserve">Nominal </w:t>
      </w:r>
      <w:r w:rsidR="00820293">
        <w:rPr>
          <w:lang w:val="en-US"/>
        </w:rPr>
        <w:t>Construction Wage</w:t>
      </w:r>
      <w:r w:rsidR="00820293" w:rsidRPr="00E423EF">
        <w:rPr>
          <w:lang w:val="en-US"/>
        </w:rPr>
        <w:t>](</w:t>
      </w:r>
      <w:r w:rsidR="00820293">
        <w:rPr>
          <w:lang w:val="en-US"/>
        </w:rPr>
        <w:t>const_</w:t>
      </w:r>
      <w:r w:rsidR="005F75BD">
        <w:rPr>
          <w:lang w:val="en-US"/>
        </w:rPr>
        <w:t>wage</w:t>
      </w:r>
      <w:r w:rsidR="00820293" w:rsidRPr="00E423EF">
        <w:rPr>
          <w:lang w:val="en-US"/>
        </w:rPr>
        <w:t>.png){ width=</w:t>
      </w:r>
      <w:r w:rsidR="00C3496E">
        <w:rPr>
          <w:lang w:val="en-US"/>
        </w:rPr>
        <w:t>4</w:t>
      </w:r>
      <w:r w:rsidR="00C3496E" w:rsidRPr="00E423EF">
        <w:rPr>
          <w:lang w:val="en-US"/>
        </w:rPr>
        <w:t>0% height=</w:t>
      </w:r>
      <w:r w:rsidR="00C3496E">
        <w:rPr>
          <w:lang w:val="en-US"/>
        </w:rPr>
        <w:t>4</w:t>
      </w:r>
      <w:r w:rsidR="00C3496E" w:rsidRPr="00E423EF">
        <w:rPr>
          <w:lang w:val="en-US"/>
        </w:rPr>
        <w:t>0%</w:t>
      </w:r>
      <w:r w:rsidR="00820293" w:rsidRPr="00E423EF">
        <w:rPr>
          <w:lang w:val="en-US"/>
        </w:rPr>
        <w:t xml:space="preserve"> #fig:label .center}</w:t>
      </w:r>
    </w:p>
    <w:p w14:paraId="7094E489" w14:textId="77777777" w:rsidR="00862045" w:rsidRDefault="00862045" w:rsidP="00820293">
      <w:pPr>
        <w:rPr>
          <w:lang w:val="en-US"/>
        </w:rPr>
      </w:pPr>
    </w:p>
    <w:p w14:paraId="5A833536" w14:textId="2356AE7F" w:rsidR="00862045" w:rsidRPr="007E0882" w:rsidRDefault="00961618" w:rsidP="00820293">
      <w:pPr>
        <w:rPr>
          <w:lang w:val="en-US"/>
        </w:rPr>
      </w:pPr>
      <w:r>
        <w:rPr>
          <w:lang w:val="en-US"/>
        </w:rPr>
        <w:t>-</w:t>
      </w:r>
      <w:r>
        <w:rPr>
          <w:lang w:val="en-US"/>
        </w:rPr>
        <w:tab/>
      </w:r>
      <w:r w:rsidR="00862045">
        <w:rPr>
          <w:lang w:val="en-US"/>
        </w:rPr>
        <w:t xml:space="preserve">Alternatively, I will </w:t>
      </w:r>
      <w:r w:rsidR="007E0882">
        <w:rPr>
          <w:lang w:val="en-US"/>
        </w:rPr>
        <w:t>t</w:t>
      </w:r>
      <w:r w:rsidR="007E0882" w:rsidRPr="007E0882">
        <w:rPr>
          <w:lang w:val="en-US"/>
        </w:rPr>
        <w:t>he FHFA (Federal Housing Finance Agency) House Price Index measures month over month changes in average prices of single-family houses with mortgages guaranteed by Fannie Mae and Freddie Mac.</w:t>
      </w:r>
    </w:p>
    <w:p w14:paraId="55986B0F" w14:textId="3F8F508E" w:rsidR="000B40B0" w:rsidRDefault="00961618" w:rsidP="000B40B0">
      <w:pPr>
        <w:rPr>
          <w:lang w:val="en-US"/>
        </w:rPr>
      </w:pPr>
      <w:r>
        <w:rPr>
          <w:lang w:val="en-US"/>
        </w:rPr>
        <w:t>-</w:t>
      </w:r>
      <w:proofErr w:type="gramStart"/>
      <w:r>
        <w:rPr>
          <w:lang w:val="en-US"/>
        </w:rPr>
        <w:tab/>
      </w:r>
      <w:r w:rsidR="000B40B0" w:rsidRPr="00E423EF">
        <w:rPr>
          <w:lang w:val="en-US"/>
        </w:rPr>
        <w:t>![</w:t>
      </w:r>
      <w:proofErr w:type="gramEnd"/>
      <w:r w:rsidR="009D074F" w:rsidRPr="009D074F">
        <w:rPr>
          <w:lang w:val="en-US"/>
        </w:rPr>
        <w:t xml:space="preserve"> FHFA (Federal Housing Finance Agency) House Price Index</w:t>
      </w:r>
      <w:r w:rsidR="000B40B0" w:rsidRPr="00E423EF">
        <w:rPr>
          <w:lang w:val="en-US"/>
        </w:rPr>
        <w:t>](</w:t>
      </w:r>
      <w:r w:rsidR="009D074F">
        <w:rPr>
          <w:lang w:val="en-US"/>
        </w:rPr>
        <w:t>fhfa</w:t>
      </w:r>
      <w:r w:rsidR="000B40B0">
        <w:rPr>
          <w:lang w:val="en-US"/>
        </w:rPr>
        <w:t>_</w:t>
      </w:r>
      <w:r w:rsidR="009D074F">
        <w:rPr>
          <w:lang w:val="en-US"/>
        </w:rPr>
        <w:t>9123</w:t>
      </w:r>
      <w:r w:rsidR="000B40B0" w:rsidRPr="00E423EF">
        <w:rPr>
          <w:lang w:val="en-US"/>
        </w:rPr>
        <w:t>.png){ width=</w:t>
      </w:r>
      <w:r w:rsidR="00C3496E">
        <w:rPr>
          <w:lang w:val="en-US"/>
        </w:rPr>
        <w:t>4</w:t>
      </w:r>
      <w:r w:rsidR="00C3496E" w:rsidRPr="00E423EF">
        <w:rPr>
          <w:lang w:val="en-US"/>
        </w:rPr>
        <w:t>0% height=</w:t>
      </w:r>
      <w:r w:rsidR="00C3496E">
        <w:rPr>
          <w:lang w:val="en-US"/>
        </w:rPr>
        <w:t>4</w:t>
      </w:r>
      <w:r w:rsidR="00C3496E" w:rsidRPr="00E423EF">
        <w:rPr>
          <w:lang w:val="en-US"/>
        </w:rPr>
        <w:t>0%</w:t>
      </w:r>
      <w:r w:rsidR="000B40B0" w:rsidRPr="00E423EF">
        <w:rPr>
          <w:lang w:val="en-US"/>
        </w:rPr>
        <w:t xml:space="preserve"> #fig:label .center}</w:t>
      </w:r>
    </w:p>
    <w:p w14:paraId="2B4237AD" w14:textId="77777777" w:rsidR="000B140E" w:rsidRDefault="000B140E" w:rsidP="000B40B0">
      <w:pPr>
        <w:rPr>
          <w:lang w:val="en-US"/>
        </w:rPr>
      </w:pPr>
    </w:p>
    <w:p w14:paraId="39DC358D" w14:textId="6C105F00" w:rsidR="007E0882" w:rsidRDefault="00961618" w:rsidP="00A6057B">
      <w:pPr>
        <w:rPr>
          <w:lang w:val="en-US"/>
        </w:rPr>
      </w:pPr>
      <w:r>
        <w:rPr>
          <w:lang w:val="en-US"/>
        </w:rPr>
        <w:t>-</w:t>
      </w:r>
      <w:r>
        <w:rPr>
          <w:lang w:val="en-US"/>
        </w:rPr>
        <w:tab/>
      </w:r>
      <w:r w:rsidR="007E0882">
        <w:rPr>
          <w:lang w:val="en-US"/>
        </w:rPr>
        <w:t xml:space="preserve">Or the </w:t>
      </w:r>
      <w:r w:rsidR="00A6057B" w:rsidRPr="00A6057B">
        <w:rPr>
          <w:lang w:val="en-US"/>
        </w:rPr>
        <w:t>DJUSRE</w:t>
      </w:r>
      <w:r w:rsidR="00A6057B">
        <w:rPr>
          <w:lang w:val="en-US"/>
        </w:rPr>
        <w:t xml:space="preserve"> </w:t>
      </w:r>
      <w:r w:rsidR="00A6057B" w:rsidRPr="00A6057B">
        <w:rPr>
          <w:lang w:val="en-US"/>
        </w:rPr>
        <w:t>index is designed to track the performance of real estate investment trusts (REIT) and other companies that invest directly or indirectly in real estate through development, management, or ownership, including property agencies.</w:t>
      </w:r>
    </w:p>
    <w:p w14:paraId="534FF464" w14:textId="4A94D3A8" w:rsidR="000B40B0" w:rsidRDefault="00961618" w:rsidP="000B40B0">
      <w:pPr>
        <w:rPr>
          <w:lang w:val="en-US"/>
        </w:rPr>
      </w:pPr>
      <w:r>
        <w:rPr>
          <w:lang w:val="en-US"/>
        </w:rPr>
        <w:t>-</w:t>
      </w:r>
      <w:proofErr w:type="gramStart"/>
      <w:r>
        <w:rPr>
          <w:lang w:val="en-US"/>
        </w:rPr>
        <w:tab/>
      </w:r>
      <w:r w:rsidR="000B40B0" w:rsidRPr="00E423EF">
        <w:rPr>
          <w:lang w:val="en-US"/>
        </w:rPr>
        <w:t>![</w:t>
      </w:r>
      <w:proofErr w:type="gramEnd"/>
      <w:r w:rsidR="000525DF" w:rsidRPr="000525DF">
        <w:rPr>
          <w:lang w:val="en-US"/>
        </w:rPr>
        <w:t>Dow Jones U.S. Real Estate Index</w:t>
      </w:r>
      <w:r w:rsidR="000B40B0" w:rsidRPr="00E423EF">
        <w:rPr>
          <w:lang w:val="en-US"/>
        </w:rPr>
        <w:t>](</w:t>
      </w:r>
      <w:r w:rsidR="000525DF">
        <w:rPr>
          <w:lang w:val="en-US"/>
        </w:rPr>
        <w:t>dju</w:t>
      </w:r>
      <w:r w:rsidR="008B7AFE">
        <w:rPr>
          <w:lang w:val="en-US"/>
        </w:rPr>
        <w:t>s</w:t>
      </w:r>
      <w:r w:rsidR="000525DF">
        <w:rPr>
          <w:lang w:val="en-US"/>
        </w:rPr>
        <w:t>rei</w:t>
      </w:r>
      <w:r w:rsidR="000B40B0">
        <w:rPr>
          <w:lang w:val="en-US"/>
        </w:rPr>
        <w:t>_</w:t>
      </w:r>
      <w:r w:rsidR="00AB0B29">
        <w:rPr>
          <w:lang w:val="en-US"/>
        </w:rPr>
        <w:t>1423</w:t>
      </w:r>
      <w:r w:rsidR="000B40B0" w:rsidRPr="00E423EF">
        <w:rPr>
          <w:lang w:val="en-US"/>
        </w:rPr>
        <w:t>.png){ width=</w:t>
      </w:r>
      <w:r w:rsidR="00C3496E">
        <w:rPr>
          <w:lang w:val="en-US"/>
        </w:rPr>
        <w:t>4</w:t>
      </w:r>
      <w:r w:rsidR="00C3496E" w:rsidRPr="00E423EF">
        <w:rPr>
          <w:lang w:val="en-US"/>
        </w:rPr>
        <w:t>0% height=</w:t>
      </w:r>
      <w:r w:rsidR="00C3496E">
        <w:rPr>
          <w:lang w:val="en-US"/>
        </w:rPr>
        <w:t>4</w:t>
      </w:r>
      <w:r w:rsidR="00C3496E" w:rsidRPr="00E423EF">
        <w:rPr>
          <w:lang w:val="en-US"/>
        </w:rPr>
        <w:t>0%</w:t>
      </w:r>
      <w:r w:rsidR="000B40B0" w:rsidRPr="00E423EF">
        <w:rPr>
          <w:lang w:val="en-US"/>
        </w:rPr>
        <w:t xml:space="preserve"> #fig:label .center}</w:t>
      </w:r>
    </w:p>
    <w:p w14:paraId="11543052" w14:textId="77777777" w:rsidR="00DA115A" w:rsidRPr="006D0BE9" w:rsidRDefault="00DA115A" w:rsidP="006D0BE9">
      <w:pPr>
        <w:rPr>
          <w:lang w:val="en-US"/>
        </w:rPr>
      </w:pPr>
    </w:p>
    <w:p w14:paraId="78886D56" w14:textId="2000CBC7" w:rsidR="00C90E87" w:rsidRDefault="00961618" w:rsidP="00C90E87">
      <w:pPr>
        <w:rPr>
          <w:lang w:val="en-US"/>
        </w:rPr>
      </w:pPr>
      <w:r>
        <w:rPr>
          <w:lang w:val="en-US"/>
        </w:rPr>
        <w:t>-</w:t>
      </w:r>
      <w:r>
        <w:rPr>
          <w:lang w:val="en-US"/>
        </w:rPr>
        <w:tab/>
      </w:r>
      <w:r w:rsidR="00C90E87">
        <w:rPr>
          <w:lang w:val="en-US"/>
        </w:rPr>
        <w:t xml:space="preserve">Fourth, I will create a database with </w:t>
      </w:r>
      <w:r w:rsidR="00A2422B" w:rsidRPr="00A2422B">
        <w:rPr>
          <w:lang w:val="en-US"/>
        </w:rPr>
        <w:t xml:space="preserve">the peso-dollar exchange rate using Banco de México’s real peso exchange rate index. A real exchange rate index </w:t>
      </w:r>
      <w:proofErr w:type="gramStart"/>
      <w:r w:rsidR="00A2422B" w:rsidRPr="00A2422B">
        <w:rPr>
          <w:lang w:val="en-US"/>
        </w:rPr>
        <w:t>controls for</w:t>
      </w:r>
      <w:proofErr w:type="gramEnd"/>
      <w:r w:rsidR="00A2422B" w:rsidRPr="00A2422B">
        <w:rPr>
          <w:lang w:val="en-US"/>
        </w:rPr>
        <w:t xml:space="preserve"> the inflation rate differential in the two countries</w:t>
      </w:r>
      <w:r w:rsidR="00C90E87">
        <w:rPr>
          <w:lang w:val="en-US"/>
        </w:rPr>
        <w:t xml:space="preserve">. </w:t>
      </w:r>
    </w:p>
    <w:p w14:paraId="24D767EB" w14:textId="7520E801" w:rsidR="00C90E87" w:rsidRDefault="00961618" w:rsidP="00C90E87">
      <w:pPr>
        <w:rPr>
          <w:lang w:val="en-US"/>
        </w:rPr>
      </w:pPr>
      <w:r>
        <w:rPr>
          <w:lang w:val="en-US"/>
        </w:rPr>
        <w:t>-</w:t>
      </w:r>
      <w:proofErr w:type="gramStart"/>
      <w:r>
        <w:rPr>
          <w:lang w:val="en-US"/>
        </w:rPr>
        <w:tab/>
      </w:r>
      <w:r w:rsidR="00C90E87" w:rsidRPr="00E423EF">
        <w:rPr>
          <w:lang w:val="en-US"/>
        </w:rPr>
        <w:t>![</w:t>
      </w:r>
      <w:proofErr w:type="gramEnd"/>
      <w:r w:rsidR="00E451A5" w:rsidRPr="00A2422B">
        <w:rPr>
          <w:lang w:val="en-US"/>
        </w:rPr>
        <w:t>Real Peso Exchange Rate Index</w:t>
      </w:r>
      <w:r w:rsidR="00C90E87" w:rsidRPr="00E423EF">
        <w:rPr>
          <w:lang w:val="en-US"/>
        </w:rPr>
        <w:t>](</w:t>
      </w:r>
      <w:r w:rsidR="00DA07AC">
        <w:rPr>
          <w:lang w:val="en-US"/>
        </w:rPr>
        <w:t>repe</w:t>
      </w:r>
      <w:r w:rsidR="00C90E87">
        <w:rPr>
          <w:lang w:val="en-US"/>
        </w:rPr>
        <w:t>_</w:t>
      </w:r>
      <w:r w:rsidR="00DA07AC">
        <w:rPr>
          <w:lang w:val="en-US"/>
        </w:rPr>
        <w:t>mex</w:t>
      </w:r>
      <w:r w:rsidR="00C90E87" w:rsidRPr="00E423EF">
        <w:rPr>
          <w:lang w:val="en-US"/>
        </w:rPr>
        <w:t>.png){ width=</w:t>
      </w:r>
      <w:r w:rsidR="00C3496E">
        <w:rPr>
          <w:lang w:val="en-US"/>
        </w:rPr>
        <w:t>4</w:t>
      </w:r>
      <w:r w:rsidR="00C90E87" w:rsidRPr="00E423EF">
        <w:rPr>
          <w:lang w:val="en-US"/>
        </w:rPr>
        <w:t>0% height=</w:t>
      </w:r>
      <w:r w:rsidR="00C3496E">
        <w:rPr>
          <w:lang w:val="en-US"/>
        </w:rPr>
        <w:t>4</w:t>
      </w:r>
      <w:r w:rsidR="00C90E87" w:rsidRPr="00E423EF">
        <w:rPr>
          <w:lang w:val="en-US"/>
        </w:rPr>
        <w:t>0% #fig:label .center}</w:t>
      </w:r>
    </w:p>
    <w:p w14:paraId="7CC247B0" w14:textId="77777777" w:rsidR="001A3A77" w:rsidRDefault="001A3A77" w:rsidP="006D19BA">
      <w:pPr>
        <w:rPr>
          <w:lang w:val="en-US"/>
        </w:rPr>
      </w:pPr>
    </w:p>
    <w:p w14:paraId="4A4DD9D3" w14:textId="38A950AB" w:rsidR="000B140E" w:rsidRDefault="00961618" w:rsidP="000B140E">
      <w:pPr>
        <w:rPr>
          <w:lang w:val="en-US"/>
        </w:rPr>
      </w:pPr>
      <w:r>
        <w:rPr>
          <w:lang w:val="en-US"/>
        </w:rPr>
        <w:t>-</w:t>
      </w:r>
      <w:r>
        <w:rPr>
          <w:lang w:val="en-US"/>
        </w:rPr>
        <w:tab/>
      </w:r>
      <w:r w:rsidR="00217CB4">
        <w:rPr>
          <w:lang w:val="en-US"/>
        </w:rPr>
        <w:t>Finally</w:t>
      </w:r>
      <w:r w:rsidR="000B140E">
        <w:rPr>
          <w:lang w:val="en-US"/>
        </w:rPr>
        <w:t xml:space="preserve">, I will </w:t>
      </w:r>
      <w:r w:rsidR="00217CB4">
        <w:rPr>
          <w:lang w:val="en-US"/>
        </w:rPr>
        <w:t xml:space="preserve">attempt to create an </w:t>
      </w:r>
      <w:proofErr w:type="spellStart"/>
      <w:r w:rsidR="00217CB4">
        <w:rPr>
          <w:lang w:val="en-US"/>
        </w:rPr>
        <w:t>uptadet</w:t>
      </w:r>
      <w:proofErr w:type="spellEnd"/>
      <w:r w:rsidR="00217CB4">
        <w:rPr>
          <w:lang w:val="en-US"/>
        </w:rPr>
        <w:t xml:space="preserve"> version of the GET index that </w:t>
      </w:r>
      <w:r w:rsidR="00557091">
        <w:rPr>
          <w:lang w:val="en-US"/>
        </w:rPr>
        <w:t xml:space="preserve">accounts for exogenous factors that attain the Mexican economy. </w:t>
      </w:r>
      <w:r w:rsidR="005A6DDC">
        <w:rPr>
          <w:lang w:val="en-US"/>
        </w:rPr>
        <w:t xml:space="preserve">By using the baseline model with commodities and interest rates, I </w:t>
      </w:r>
      <w:r w:rsidR="00373748">
        <w:rPr>
          <w:lang w:val="en-US"/>
        </w:rPr>
        <w:t xml:space="preserve">will test the changes in popularity as I introduce remittance flows, construction </w:t>
      </w:r>
      <w:r w:rsidR="00813562">
        <w:rPr>
          <w:lang w:val="en-US"/>
        </w:rPr>
        <w:t xml:space="preserve">statistics, and the real peso exchange index. </w:t>
      </w:r>
      <w:r w:rsidR="00557091">
        <w:rPr>
          <w:lang w:val="en-US"/>
        </w:rPr>
        <w:t xml:space="preserve">Hopefully it can better characterize </w:t>
      </w:r>
      <w:r w:rsidR="00557091">
        <w:rPr>
          <w:lang w:val="en-US"/>
        </w:rPr>
        <w:lastRenderedPageBreak/>
        <w:t xml:space="preserve">the variations in </w:t>
      </w:r>
      <w:r w:rsidR="005A6DDC">
        <w:rPr>
          <w:lang w:val="en-US"/>
        </w:rPr>
        <w:t xml:space="preserve">the economy that are relevant for presidential success, popularity, and eventually election prospects. </w:t>
      </w:r>
    </w:p>
    <w:p w14:paraId="181D3DF2" w14:textId="77777777" w:rsidR="000B140E" w:rsidRDefault="000B140E" w:rsidP="006D19BA">
      <w:pPr>
        <w:rPr>
          <w:lang w:val="en-US"/>
        </w:rPr>
      </w:pPr>
    </w:p>
    <w:p w14:paraId="36AE0D1E" w14:textId="210F5F18" w:rsidR="00FD0E24" w:rsidRDefault="000D53EF" w:rsidP="006D19BA">
      <w:pPr>
        <w:rPr>
          <w:lang w:val="en-US"/>
        </w:rPr>
      </w:pPr>
      <w:r>
        <w:rPr>
          <w:lang w:val="en-US"/>
        </w:rPr>
        <w:t>##</w:t>
      </w:r>
      <w:r w:rsidR="00FD0E24">
        <w:rPr>
          <w:lang w:val="en-US"/>
        </w:rPr>
        <w:t xml:space="preserve"> Hypothesis and Expected Results</w:t>
      </w:r>
    </w:p>
    <w:p w14:paraId="18A44C2F" w14:textId="77777777" w:rsidR="00995B65" w:rsidRPr="00995B65" w:rsidRDefault="00995B65" w:rsidP="00995B65">
      <w:pPr>
        <w:rPr>
          <w:lang w:val="en-US"/>
        </w:rPr>
      </w:pPr>
    </w:p>
    <w:p w14:paraId="29EECA90" w14:textId="79C3C20D" w:rsidR="00995B65" w:rsidRPr="00995B65" w:rsidRDefault="000D53EF" w:rsidP="00995B65">
      <w:pPr>
        <w:rPr>
          <w:lang w:val="en-US"/>
        </w:rPr>
      </w:pPr>
      <w:r>
        <w:rPr>
          <w:lang w:val="en-US"/>
        </w:rPr>
        <w:t>##</w:t>
      </w:r>
      <w:r w:rsidR="00995B65">
        <w:rPr>
          <w:lang w:val="en-US"/>
        </w:rPr>
        <w:t xml:space="preserve"> </w:t>
      </w:r>
      <w:r w:rsidR="00995B65" w:rsidRPr="00995B65">
        <w:rPr>
          <w:lang w:val="en-US"/>
        </w:rPr>
        <w:t>Implications</w:t>
      </w:r>
      <w:r w:rsidR="00300B89">
        <w:rPr>
          <w:lang w:val="en-US"/>
        </w:rPr>
        <w:t xml:space="preserve"> and </w:t>
      </w:r>
      <w:r w:rsidR="00995B65" w:rsidRPr="00995B65">
        <w:rPr>
          <w:lang w:val="en-US"/>
        </w:rPr>
        <w:t>Limitations</w:t>
      </w:r>
    </w:p>
    <w:p w14:paraId="33E8529F" w14:textId="0006F841" w:rsidR="00995B65" w:rsidRPr="00E47198" w:rsidRDefault="00014443" w:rsidP="00995B65">
      <w:pPr>
        <w:rPr>
          <w:lang w:val="en-US"/>
        </w:rPr>
      </w:pPr>
      <w:r w:rsidRPr="005C01B5">
        <w:rPr>
          <w:lang w:val="en-US"/>
        </w:rPr>
        <w:t>Accountability mechanisms however, which are often rudimentary in these contexts, could erode even further as a result; it constitutes a form of competence misattribution (see Campello and Zucco 2017).</w:t>
      </w:r>
      <w:r w:rsidR="005C01B5">
        <w:rPr>
          <w:lang w:val="en-US"/>
        </w:rPr>
        <w:t xml:space="preserve"> </w:t>
      </w:r>
      <w:r w:rsidR="005C01B5" w:rsidRPr="00E47198">
        <w:rPr>
          <w:lang w:val="en-US"/>
        </w:rPr>
        <w:t>For electoral accountability to function properly, voters need to reward, or punish, incumbents for outcomes for which they are primarily responsible (Kayser and Peress 2012).</w:t>
      </w:r>
    </w:p>
    <w:p w14:paraId="1CB63112" w14:textId="701F4205" w:rsidR="00300B89" w:rsidRDefault="00BD7E94" w:rsidP="00995B65">
      <w:pPr>
        <w:rPr>
          <w:lang w:val="en-US"/>
        </w:rPr>
      </w:pPr>
      <w:r w:rsidRPr="00BD7E94">
        <w:rPr>
          <w:lang w:val="en-US"/>
        </w:rPr>
        <w:t>What is more, the increasing use of technology, such as mobile and internet transfers, is making it even more difficult for governments to exert control over remittance inflows (Vieira 2017).</w:t>
      </w:r>
    </w:p>
    <w:p w14:paraId="42647E17" w14:textId="77777777" w:rsidR="0011344D" w:rsidRDefault="0011344D" w:rsidP="0011344D">
      <w:pPr>
        <w:rPr>
          <w:lang w:val="en-US"/>
        </w:rPr>
      </w:pPr>
      <w:r>
        <w:rPr>
          <w:lang w:val="en-US"/>
        </w:rPr>
        <w:t xml:space="preserve">The Mexican economy took an economic decision of </w:t>
      </w:r>
      <w:proofErr w:type="spellStart"/>
      <w:r>
        <w:rPr>
          <w:lang w:val="en-US"/>
        </w:rPr>
        <w:t>depetrolize</w:t>
      </w:r>
      <w:proofErr w:type="spellEnd"/>
      <w:r>
        <w:rPr>
          <w:lang w:val="en-US"/>
        </w:rPr>
        <w:t xml:space="preserve"> in the 1970s when president XX did XX. Although still </w:t>
      </w:r>
      <w:proofErr w:type="gramStart"/>
      <w:r>
        <w:rPr>
          <w:lang w:val="en-US"/>
        </w:rPr>
        <w:t>dependent ,</w:t>
      </w:r>
      <w:proofErr w:type="gramEnd"/>
      <w:r>
        <w:rPr>
          <w:lang w:val="en-US"/>
        </w:rPr>
        <w:t xml:space="preserve"> gradually reducing its dependence on oil from 60% in 1960 down to 20% since 1960.</w:t>
      </w:r>
    </w:p>
    <w:p w14:paraId="24460469" w14:textId="77777777" w:rsidR="0011344D" w:rsidRPr="008914CD" w:rsidRDefault="0011344D" w:rsidP="0011344D">
      <w:pPr>
        <w:rPr>
          <w:lang w:val="en-US"/>
        </w:rPr>
      </w:pPr>
      <w:proofErr w:type="gramStart"/>
      <w:r>
        <w:rPr>
          <w:lang w:val="en-US"/>
        </w:rPr>
        <w:t xml:space="preserve">We  </w:t>
      </w:r>
      <w:proofErr w:type="spellStart"/>
      <w:r>
        <w:rPr>
          <w:lang w:val="en-US"/>
        </w:rPr>
        <w:t>most</w:t>
      </w:r>
      <w:proofErr w:type="spellEnd"/>
      <w:proofErr w:type="gramEnd"/>
      <w:r>
        <w:rPr>
          <w:lang w:val="en-US"/>
        </w:rPr>
        <w:t xml:space="preserve"> consider that reduced capacity in Mexican refineries increases the crude exports while increasing imports of oil and other petroleum derivates.</w:t>
      </w:r>
    </w:p>
    <w:p w14:paraId="2D23F1A2" w14:textId="77777777" w:rsidR="0011344D" w:rsidRDefault="0011344D" w:rsidP="0011344D">
      <w:pPr>
        <w:rPr>
          <w:lang w:val="en-US"/>
        </w:rPr>
      </w:pPr>
      <w:r>
        <w:rPr>
          <w:lang w:val="en-US"/>
        </w:rPr>
        <w:t xml:space="preserve">Since 1960 </w:t>
      </w:r>
      <w:proofErr w:type="spellStart"/>
      <w:r>
        <w:rPr>
          <w:lang w:val="en-US"/>
        </w:rPr>
        <w:t>mexico</w:t>
      </w:r>
      <w:proofErr w:type="spellEnd"/>
      <w:r>
        <w:rPr>
          <w:lang w:val="en-US"/>
        </w:rPr>
        <w:t xml:space="preserve"> passed from being the 4</w:t>
      </w:r>
      <w:r w:rsidRPr="00497FC6">
        <w:rPr>
          <w:vertAlign w:val="superscript"/>
          <w:lang w:val="en-US"/>
        </w:rPr>
        <w:t>th</w:t>
      </w:r>
      <w:r>
        <w:rPr>
          <w:lang w:val="en-US"/>
        </w:rPr>
        <w:t xml:space="preserve"> trading partner of the US to 1</w:t>
      </w:r>
      <w:r w:rsidRPr="00497FC6">
        <w:rPr>
          <w:vertAlign w:val="superscript"/>
          <w:lang w:val="en-US"/>
        </w:rPr>
        <w:t>st</w:t>
      </w:r>
      <w:r>
        <w:rPr>
          <w:lang w:val="en-US"/>
        </w:rPr>
        <w:t xml:space="preserve"> position in 2023. </w:t>
      </w:r>
    </w:p>
    <w:p w14:paraId="7319C534" w14:textId="77777777" w:rsidR="0011344D" w:rsidRDefault="0011344D" w:rsidP="00995B65">
      <w:pPr>
        <w:rPr>
          <w:lang w:val="en-US"/>
        </w:rPr>
      </w:pPr>
    </w:p>
    <w:p w14:paraId="5AB9485C" w14:textId="77777777" w:rsidR="00BA7C35" w:rsidRDefault="00BA7C35" w:rsidP="00995B65">
      <w:pPr>
        <w:rPr>
          <w:lang w:val="en-US"/>
        </w:rPr>
      </w:pPr>
    </w:p>
    <w:p w14:paraId="2749A77C" w14:textId="3522FAEB" w:rsidR="00BA7C35" w:rsidRDefault="003A48D5" w:rsidP="00995B65">
      <w:pPr>
        <w:rPr>
          <w:lang w:val="en-US"/>
        </w:rPr>
      </w:pPr>
      <w:hyperlink r:id="rId5" w:history="1">
        <w:r w:rsidR="00BA7C35" w:rsidRPr="008F3612">
          <w:rPr>
            <w:rStyle w:val="Hyperlink"/>
            <w:lang w:val="en-US"/>
          </w:rPr>
          <w:t>https://www.atlantafed.org/chcs/wage-growth-tracker</w:t>
        </w:r>
      </w:hyperlink>
    </w:p>
    <w:p w14:paraId="025DCD0F" w14:textId="1AB0DDD3" w:rsidR="00BA7C35" w:rsidRDefault="003A48D5" w:rsidP="00995B65">
      <w:pPr>
        <w:rPr>
          <w:lang w:val="en-US"/>
        </w:rPr>
      </w:pPr>
      <w:hyperlink r:id="rId6" w:history="1">
        <w:r w:rsidR="00BA7C35" w:rsidRPr="008F3612">
          <w:rPr>
            <w:rStyle w:val="Hyperlink"/>
            <w:lang w:val="en-US"/>
          </w:rPr>
          <w:t>https://www.bls.gov/ces/</w:t>
        </w:r>
      </w:hyperlink>
    </w:p>
    <w:p w14:paraId="60925F6D" w14:textId="33502E74" w:rsidR="00BA7C35" w:rsidRDefault="003A48D5" w:rsidP="00995B65">
      <w:pPr>
        <w:rPr>
          <w:lang w:val="en-US"/>
        </w:rPr>
      </w:pPr>
      <w:hyperlink r:id="rId7" w:history="1">
        <w:r w:rsidR="00BA7C35" w:rsidRPr="008F3612">
          <w:rPr>
            <w:rStyle w:val="Hyperlink"/>
            <w:lang w:val="en-US"/>
          </w:rPr>
          <w:t>https://tradingeconomics.com/united-states/housing-index</w:t>
        </w:r>
      </w:hyperlink>
    </w:p>
    <w:p w14:paraId="0D1CF7B2" w14:textId="30196A87" w:rsidR="00BA7C35" w:rsidRDefault="003A48D5" w:rsidP="00995B65">
      <w:pPr>
        <w:rPr>
          <w:lang w:val="en-US"/>
        </w:rPr>
      </w:pPr>
      <w:hyperlink r:id="rId8" w:anchor="overview" w:history="1">
        <w:r w:rsidR="00BA7C35" w:rsidRPr="008F3612">
          <w:rPr>
            <w:rStyle w:val="Hyperlink"/>
            <w:lang w:val="en-US"/>
          </w:rPr>
          <w:t>https://www.spglobal.com/spdji/en/indices/equity/dow-jones-us-real-estate-index/#overview</w:t>
        </w:r>
      </w:hyperlink>
    </w:p>
    <w:p w14:paraId="6450623E" w14:textId="338E65C4" w:rsidR="00BA7C35" w:rsidRDefault="003A48D5" w:rsidP="00995B65">
      <w:pPr>
        <w:rPr>
          <w:lang w:val="en-US"/>
        </w:rPr>
      </w:pPr>
      <w:hyperlink r:id="rId9" w:history="1">
        <w:r w:rsidR="00BA7C35" w:rsidRPr="008F3612">
          <w:rPr>
            <w:rStyle w:val="Hyperlink"/>
            <w:lang w:val="en-US"/>
          </w:rPr>
          <w:t>https://www.fhfa.gov/AboutUs/Reports/ReportDocuments/FHFA-HPI-Monthly_12262023.pdf</w:t>
        </w:r>
      </w:hyperlink>
    </w:p>
    <w:p w14:paraId="70A2CCDB" w14:textId="6B1A44F8" w:rsidR="00BA7C35" w:rsidRDefault="003A48D5" w:rsidP="00995B65">
      <w:pPr>
        <w:rPr>
          <w:lang w:val="en-US"/>
        </w:rPr>
      </w:pPr>
      <w:hyperlink r:id="rId10" w:history="1">
        <w:r w:rsidR="00101804" w:rsidRPr="008F3612">
          <w:rPr>
            <w:rStyle w:val="Hyperlink"/>
            <w:lang w:val="en-US"/>
          </w:rPr>
          <w:t>https://www.fhfa.gov/Dashboards/UAD/Pages/uad_advanced_analytics.aspx</w:t>
        </w:r>
      </w:hyperlink>
    </w:p>
    <w:p w14:paraId="6666C261" w14:textId="19103A03" w:rsidR="00101804" w:rsidRDefault="003A48D5" w:rsidP="00995B65">
      <w:pPr>
        <w:rPr>
          <w:lang w:val="en-US"/>
        </w:rPr>
      </w:pPr>
      <w:hyperlink r:id="rId11" w:history="1">
        <w:r w:rsidR="00101804" w:rsidRPr="008F3612">
          <w:rPr>
            <w:rStyle w:val="Hyperlink"/>
            <w:lang w:val="en-US"/>
          </w:rPr>
          <w:t>https://catalog.data.gov/dataset?q=fhfa</w:t>
        </w:r>
      </w:hyperlink>
    </w:p>
    <w:p w14:paraId="3759DF6B" w14:textId="3BB4E10F" w:rsidR="00101804" w:rsidRDefault="003A48D5" w:rsidP="00995B65">
      <w:pPr>
        <w:rPr>
          <w:lang w:val="en-US"/>
        </w:rPr>
      </w:pPr>
      <w:hyperlink r:id="rId12" w:history="1">
        <w:r w:rsidR="00101804" w:rsidRPr="008F3612">
          <w:rPr>
            <w:rStyle w:val="Hyperlink"/>
            <w:lang w:val="en-US"/>
          </w:rPr>
          <w:t>https://catalog.data.gov/dataset/fhfa-house-price-indexes-hpis-948c6</w:t>
        </w:r>
      </w:hyperlink>
    </w:p>
    <w:p w14:paraId="1EAEB1B7" w14:textId="3AE9E71B" w:rsidR="00101804" w:rsidRDefault="003A48D5" w:rsidP="00995B65">
      <w:pPr>
        <w:rPr>
          <w:lang w:val="en-US"/>
        </w:rPr>
      </w:pPr>
      <w:hyperlink r:id="rId13" w:history="1">
        <w:r w:rsidR="00101804" w:rsidRPr="008F3612">
          <w:rPr>
            <w:rStyle w:val="Hyperlink"/>
            <w:lang w:val="en-US"/>
          </w:rPr>
          <w:t>https://stats.wto.org/</w:t>
        </w:r>
      </w:hyperlink>
    </w:p>
    <w:p w14:paraId="5CEC7AEB" w14:textId="77777777" w:rsidR="00101804" w:rsidRPr="00BD7E94" w:rsidRDefault="00101804" w:rsidP="00995B65">
      <w:pPr>
        <w:rPr>
          <w:lang w:val="en-US"/>
        </w:rPr>
      </w:pPr>
    </w:p>
    <w:sectPr w:rsidR="00101804" w:rsidRPr="00BD7E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C2877"/>
    <w:multiLevelType w:val="multilevel"/>
    <w:tmpl w:val="1578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11834"/>
    <w:multiLevelType w:val="hybridMultilevel"/>
    <w:tmpl w:val="AE64BF44"/>
    <w:lvl w:ilvl="0" w:tplc="8F7AD6FA">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A71044F"/>
    <w:multiLevelType w:val="multilevel"/>
    <w:tmpl w:val="0714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52900"/>
    <w:multiLevelType w:val="hybridMultilevel"/>
    <w:tmpl w:val="29FAAA86"/>
    <w:lvl w:ilvl="0" w:tplc="EF7636AE">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70427481">
    <w:abstractNumId w:val="0"/>
  </w:num>
  <w:num w:numId="2" w16cid:durableId="1889147488">
    <w:abstractNumId w:val="2"/>
  </w:num>
  <w:num w:numId="3" w16cid:durableId="1033338653">
    <w:abstractNumId w:val="1"/>
  </w:num>
  <w:num w:numId="4" w16cid:durableId="1044015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55"/>
    <w:rsid w:val="00001E02"/>
    <w:rsid w:val="00006D41"/>
    <w:rsid w:val="000116AD"/>
    <w:rsid w:val="00011B86"/>
    <w:rsid w:val="00014443"/>
    <w:rsid w:val="0001505E"/>
    <w:rsid w:val="00015398"/>
    <w:rsid w:val="00016918"/>
    <w:rsid w:val="00016AF7"/>
    <w:rsid w:val="00027095"/>
    <w:rsid w:val="0003588A"/>
    <w:rsid w:val="00037787"/>
    <w:rsid w:val="00040850"/>
    <w:rsid w:val="00042EB0"/>
    <w:rsid w:val="00043497"/>
    <w:rsid w:val="000443FC"/>
    <w:rsid w:val="00044AE3"/>
    <w:rsid w:val="00051EB3"/>
    <w:rsid w:val="000525DF"/>
    <w:rsid w:val="00055059"/>
    <w:rsid w:val="000565DA"/>
    <w:rsid w:val="00064828"/>
    <w:rsid w:val="00067A8E"/>
    <w:rsid w:val="00071442"/>
    <w:rsid w:val="000716CF"/>
    <w:rsid w:val="00073A22"/>
    <w:rsid w:val="00077712"/>
    <w:rsid w:val="00084309"/>
    <w:rsid w:val="0008519D"/>
    <w:rsid w:val="00090A8B"/>
    <w:rsid w:val="000A0ED5"/>
    <w:rsid w:val="000A2E16"/>
    <w:rsid w:val="000B140E"/>
    <w:rsid w:val="000B2D25"/>
    <w:rsid w:val="000B40B0"/>
    <w:rsid w:val="000B552F"/>
    <w:rsid w:val="000C0DCF"/>
    <w:rsid w:val="000C51CC"/>
    <w:rsid w:val="000C5453"/>
    <w:rsid w:val="000C6F39"/>
    <w:rsid w:val="000D2B2D"/>
    <w:rsid w:val="000D3E5D"/>
    <w:rsid w:val="000D53EF"/>
    <w:rsid w:val="000D6111"/>
    <w:rsid w:val="000D6794"/>
    <w:rsid w:val="000D79BF"/>
    <w:rsid w:val="000E3824"/>
    <w:rsid w:val="000E51A0"/>
    <w:rsid w:val="000E54F8"/>
    <w:rsid w:val="000E55ED"/>
    <w:rsid w:val="000E79B8"/>
    <w:rsid w:val="000F4D6B"/>
    <w:rsid w:val="000F5BA0"/>
    <w:rsid w:val="000F672F"/>
    <w:rsid w:val="000F716C"/>
    <w:rsid w:val="000F7DF6"/>
    <w:rsid w:val="00101804"/>
    <w:rsid w:val="0011080B"/>
    <w:rsid w:val="0011344D"/>
    <w:rsid w:val="0011695B"/>
    <w:rsid w:val="001208B4"/>
    <w:rsid w:val="001245BE"/>
    <w:rsid w:val="00125145"/>
    <w:rsid w:val="00127810"/>
    <w:rsid w:val="0013445A"/>
    <w:rsid w:val="0013747E"/>
    <w:rsid w:val="00141E1C"/>
    <w:rsid w:val="00142622"/>
    <w:rsid w:val="00144A5E"/>
    <w:rsid w:val="00147E1A"/>
    <w:rsid w:val="00153D69"/>
    <w:rsid w:val="00155FCB"/>
    <w:rsid w:val="00156638"/>
    <w:rsid w:val="0016029A"/>
    <w:rsid w:val="0016301C"/>
    <w:rsid w:val="0016647C"/>
    <w:rsid w:val="00170353"/>
    <w:rsid w:val="001703B2"/>
    <w:rsid w:val="00172869"/>
    <w:rsid w:val="0017477F"/>
    <w:rsid w:val="00175047"/>
    <w:rsid w:val="00180D9A"/>
    <w:rsid w:val="00185F86"/>
    <w:rsid w:val="0018640F"/>
    <w:rsid w:val="001865D2"/>
    <w:rsid w:val="001904AF"/>
    <w:rsid w:val="00191ED4"/>
    <w:rsid w:val="001A3A77"/>
    <w:rsid w:val="001A4FD8"/>
    <w:rsid w:val="001A5BE3"/>
    <w:rsid w:val="001A5D21"/>
    <w:rsid w:val="001A65EC"/>
    <w:rsid w:val="001B3189"/>
    <w:rsid w:val="001B7658"/>
    <w:rsid w:val="001C1DB4"/>
    <w:rsid w:val="001C2353"/>
    <w:rsid w:val="001D63F8"/>
    <w:rsid w:val="001D7F26"/>
    <w:rsid w:val="001E08AF"/>
    <w:rsid w:val="001E12B2"/>
    <w:rsid w:val="001E34CE"/>
    <w:rsid w:val="001E53A5"/>
    <w:rsid w:val="001F205A"/>
    <w:rsid w:val="001F39A3"/>
    <w:rsid w:val="001F5D09"/>
    <w:rsid w:val="00210363"/>
    <w:rsid w:val="00211EE2"/>
    <w:rsid w:val="00213246"/>
    <w:rsid w:val="00214A4C"/>
    <w:rsid w:val="00217CB4"/>
    <w:rsid w:val="002206A9"/>
    <w:rsid w:val="0022558B"/>
    <w:rsid w:val="00232337"/>
    <w:rsid w:val="00236FC7"/>
    <w:rsid w:val="00237BBA"/>
    <w:rsid w:val="0024502E"/>
    <w:rsid w:val="00256835"/>
    <w:rsid w:val="002604B2"/>
    <w:rsid w:val="0027152D"/>
    <w:rsid w:val="00275197"/>
    <w:rsid w:val="00277244"/>
    <w:rsid w:val="00280850"/>
    <w:rsid w:val="00281DEF"/>
    <w:rsid w:val="00287186"/>
    <w:rsid w:val="00290521"/>
    <w:rsid w:val="00290964"/>
    <w:rsid w:val="00292D2B"/>
    <w:rsid w:val="0029438D"/>
    <w:rsid w:val="0029549C"/>
    <w:rsid w:val="00295AB7"/>
    <w:rsid w:val="002A4716"/>
    <w:rsid w:val="002A5CAE"/>
    <w:rsid w:val="002A6F5C"/>
    <w:rsid w:val="002A7CAE"/>
    <w:rsid w:val="002B241E"/>
    <w:rsid w:val="002C020A"/>
    <w:rsid w:val="002C4653"/>
    <w:rsid w:val="002C589D"/>
    <w:rsid w:val="002D35F6"/>
    <w:rsid w:val="002D4BDD"/>
    <w:rsid w:val="002E2287"/>
    <w:rsid w:val="002F0D92"/>
    <w:rsid w:val="002F1EC1"/>
    <w:rsid w:val="002F7276"/>
    <w:rsid w:val="002F73CD"/>
    <w:rsid w:val="0030069C"/>
    <w:rsid w:val="00300B89"/>
    <w:rsid w:val="003026ED"/>
    <w:rsid w:val="0030411A"/>
    <w:rsid w:val="003056D2"/>
    <w:rsid w:val="00305F95"/>
    <w:rsid w:val="003117DA"/>
    <w:rsid w:val="00315490"/>
    <w:rsid w:val="00317A66"/>
    <w:rsid w:val="00325A82"/>
    <w:rsid w:val="00326C2C"/>
    <w:rsid w:val="0032764D"/>
    <w:rsid w:val="003316F2"/>
    <w:rsid w:val="00332B96"/>
    <w:rsid w:val="00333985"/>
    <w:rsid w:val="00333C53"/>
    <w:rsid w:val="00334C84"/>
    <w:rsid w:val="00335AC2"/>
    <w:rsid w:val="00344FD2"/>
    <w:rsid w:val="003526D4"/>
    <w:rsid w:val="00353308"/>
    <w:rsid w:val="00354350"/>
    <w:rsid w:val="00354B8F"/>
    <w:rsid w:val="003570EE"/>
    <w:rsid w:val="003610E2"/>
    <w:rsid w:val="00362249"/>
    <w:rsid w:val="00363E4F"/>
    <w:rsid w:val="003642AA"/>
    <w:rsid w:val="003642C1"/>
    <w:rsid w:val="00364B37"/>
    <w:rsid w:val="00365B84"/>
    <w:rsid w:val="00365F7A"/>
    <w:rsid w:val="00373748"/>
    <w:rsid w:val="00374A19"/>
    <w:rsid w:val="003819FE"/>
    <w:rsid w:val="00387EA2"/>
    <w:rsid w:val="00393DDC"/>
    <w:rsid w:val="0039410E"/>
    <w:rsid w:val="003942FE"/>
    <w:rsid w:val="003A090D"/>
    <w:rsid w:val="003A48D5"/>
    <w:rsid w:val="003A50AA"/>
    <w:rsid w:val="003A562F"/>
    <w:rsid w:val="003A5B89"/>
    <w:rsid w:val="003A6F94"/>
    <w:rsid w:val="003B1E9D"/>
    <w:rsid w:val="003B4F6E"/>
    <w:rsid w:val="003B5292"/>
    <w:rsid w:val="003C0A30"/>
    <w:rsid w:val="003C17F0"/>
    <w:rsid w:val="003C48E7"/>
    <w:rsid w:val="003C56B7"/>
    <w:rsid w:val="003C6B7B"/>
    <w:rsid w:val="003C7391"/>
    <w:rsid w:val="003D03D8"/>
    <w:rsid w:val="003D2FD8"/>
    <w:rsid w:val="003D3EB5"/>
    <w:rsid w:val="003D6C2B"/>
    <w:rsid w:val="003F0324"/>
    <w:rsid w:val="003F1D2C"/>
    <w:rsid w:val="003F53C3"/>
    <w:rsid w:val="003F738D"/>
    <w:rsid w:val="00400E3D"/>
    <w:rsid w:val="004067DA"/>
    <w:rsid w:val="00407433"/>
    <w:rsid w:val="004231C5"/>
    <w:rsid w:val="00426504"/>
    <w:rsid w:val="004307B4"/>
    <w:rsid w:val="00431226"/>
    <w:rsid w:val="00433FB0"/>
    <w:rsid w:val="00435C9C"/>
    <w:rsid w:val="004454CA"/>
    <w:rsid w:val="00455463"/>
    <w:rsid w:val="004565AD"/>
    <w:rsid w:val="00457B8B"/>
    <w:rsid w:val="00465C0B"/>
    <w:rsid w:val="00473146"/>
    <w:rsid w:val="0047520B"/>
    <w:rsid w:val="00475B77"/>
    <w:rsid w:val="00477A60"/>
    <w:rsid w:val="00480B64"/>
    <w:rsid w:val="00483292"/>
    <w:rsid w:val="0048352B"/>
    <w:rsid w:val="004947F1"/>
    <w:rsid w:val="00497FC6"/>
    <w:rsid w:val="004A4102"/>
    <w:rsid w:val="004B1E55"/>
    <w:rsid w:val="004B44DE"/>
    <w:rsid w:val="004C0C90"/>
    <w:rsid w:val="004C262D"/>
    <w:rsid w:val="004C6757"/>
    <w:rsid w:val="004D0AD7"/>
    <w:rsid w:val="004D477A"/>
    <w:rsid w:val="004D53D8"/>
    <w:rsid w:val="004E33A1"/>
    <w:rsid w:val="004E3C32"/>
    <w:rsid w:val="004E6B6F"/>
    <w:rsid w:val="004E7555"/>
    <w:rsid w:val="004F0518"/>
    <w:rsid w:val="004F3875"/>
    <w:rsid w:val="004F5844"/>
    <w:rsid w:val="004F7891"/>
    <w:rsid w:val="00501C84"/>
    <w:rsid w:val="00506FDE"/>
    <w:rsid w:val="005073BB"/>
    <w:rsid w:val="00513ABC"/>
    <w:rsid w:val="00517A94"/>
    <w:rsid w:val="00520B60"/>
    <w:rsid w:val="0052154F"/>
    <w:rsid w:val="00522C79"/>
    <w:rsid w:val="00530242"/>
    <w:rsid w:val="00533F54"/>
    <w:rsid w:val="005448F4"/>
    <w:rsid w:val="00547214"/>
    <w:rsid w:val="00550E20"/>
    <w:rsid w:val="00554177"/>
    <w:rsid w:val="00556A1B"/>
    <w:rsid w:val="00557091"/>
    <w:rsid w:val="005572A3"/>
    <w:rsid w:val="00557ED0"/>
    <w:rsid w:val="00563372"/>
    <w:rsid w:val="00564436"/>
    <w:rsid w:val="00564577"/>
    <w:rsid w:val="005645E1"/>
    <w:rsid w:val="00565222"/>
    <w:rsid w:val="00582DA0"/>
    <w:rsid w:val="00582E12"/>
    <w:rsid w:val="005835BC"/>
    <w:rsid w:val="00584F95"/>
    <w:rsid w:val="00585B06"/>
    <w:rsid w:val="00585EC0"/>
    <w:rsid w:val="00586C3D"/>
    <w:rsid w:val="00592857"/>
    <w:rsid w:val="00593E47"/>
    <w:rsid w:val="00595438"/>
    <w:rsid w:val="00596B78"/>
    <w:rsid w:val="005A114A"/>
    <w:rsid w:val="005A6341"/>
    <w:rsid w:val="005A6DDC"/>
    <w:rsid w:val="005B4C52"/>
    <w:rsid w:val="005B4F00"/>
    <w:rsid w:val="005B6330"/>
    <w:rsid w:val="005B64C7"/>
    <w:rsid w:val="005C01B5"/>
    <w:rsid w:val="005C31E9"/>
    <w:rsid w:val="005C413F"/>
    <w:rsid w:val="005D283B"/>
    <w:rsid w:val="005E1F05"/>
    <w:rsid w:val="005E65D1"/>
    <w:rsid w:val="005E765C"/>
    <w:rsid w:val="005F37AA"/>
    <w:rsid w:val="005F6D64"/>
    <w:rsid w:val="005F75BD"/>
    <w:rsid w:val="00604D23"/>
    <w:rsid w:val="0060567C"/>
    <w:rsid w:val="00605971"/>
    <w:rsid w:val="00610E6F"/>
    <w:rsid w:val="00617A80"/>
    <w:rsid w:val="0062056E"/>
    <w:rsid w:val="0063157B"/>
    <w:rsid w:val="00635117"/>
    <w:rsid w:val="00640998"/>
    <w:rsid w:val="006409AB"/>
    <w:rsid w:val="00641B78"/>
    <w:rsid w:val="006421C5"/>
    <w:rsid w:val="00642EC8"/>
    <w:rsid w:val="00644F35"/>
    <w:rsid w:val="00655528"/>
    <w:rsid w:val="0065734C"/>
    <w:rsid w:val="006601D9"/>
    <w:rsid w:val="00660EC3"/>
    <w:rsid w:val="00664DD6"/>
    <w:rsid w:val="00670AEA"/>
    <w:rsid w:val="0067183B"/>
    <w:rsid w:val="00674555"/>
    <w:rsid w:val="00677EDB"/>
    <w:rsid w:val="0068253C"/>
    <w:rsid w:val="006840B4"/>
    <w:rsid w:val="006841AB"/>
    <w:rsid w:val="00685175"/>
    <w:rsid w:val="00685315"/>
    <w:rsid w:val="00687004"/>
    <w:rsid w:val="006A1253"/>
    <w:rsid w:val="006A23AC"/>
    <w:rsid w:val="006B1437"/>
    <w:rsid w:val="006B35AE"/>
    <w:rsid w:val="006B49A9"/>
    <w:rsid w:val="006C41BC"/>
    <w:rsid w:val="006C710C"/>
    <w:rsid w:val="006D0BE9"/>
    <w:rsid w:val="006D19BA"/>
    <w:rsid w:val="006D297B"/>
    <w:rsid w:val="006D2A3A"/>
    <w:rsid w:val="006D6519"/>
    <w:rsid w:val="006E4E8E"/>
    <w:rsid w:val="006E74A2"/>
    <w:rsid w:val="006E7EC1"/>
    <w:rsid w:val="006F68F6"/>
    <w:rsid w:val="007028F8"/>
    <w:rsid w:val="0071039D"/>
    <w:rsid w:val="007104D7"/>
    <w:rsid w:val="007254BA"/>
    <w:rsid w:val="00725EF2"/>
    <w:rsid w:val="007265AC"/>
    <w:rsid w:val="00727D21"/>
    <w:rsid w:val="00727FF3"/>
    <w:rsid w:val="00731BEC"/>
    <w:rsid w:val="00732A8E"/>
    <w:rsid w:val="00736239"/>
    <w:rsid w:val="007411C3"/>
    <w:rsid w:val="007417DA"/>
    <w:rsid w:val="007438D1"/>
    <w:rsid w:val="0075094A"/>
    <w:rsid w:val="007546CE"/>
    <w:rsid w:val="00756FE1"/>
    <w:rsid w:val="00757C26"/>
    <w:rsid w:val="007609B6"/>
    <w:rsid w:val="00760B5C"/>
    <w:rsid w:val="007627E4"/>
    <w:rsid w:val="0078060D"/>
    <w:rsid w:val="007810FB"/>
    <w:rsid w:val="007832C5"/>
    <w:rsid w:val="0078576B"/>
    <w:rsid w:val="007871AE"/>
    <w:rsid w:val="00792320"/>
    <w:rsid w:val="00792820"/>
    <w:rsid w:val="00794201"/>
    <w:rsid w:val="00795B1B"/>
    <w:rsid w:val="00795F59"/>
    <w:rsid w:val="00796490"/>
    <w:rsid w:val="00796797"/>
    <w:rsid w:val="007A02F3"/>
    <w:rsid w:val="007A1233"/>
    <w:rsid w:val="007A133D"/>
    <w:rsid w:val="007A2454"/>
    <w:rsid w:val="007A38E0"/>
    <w:rsid w:val="007A3AD1"/>
    <w:rsid w:val="007A47C7"/>
    <w:rsid w:val="007B0512"/>
    <w:rsid w:val="007C46A8"/>
    <w:rsid w:val="007C47D8"/>
    <w:rsid w:val="007C62CE"/>
    <w:rsid w:val="007E0882"/>
    <w:rsid w:val="007E2102"/>
    <w:rsid w:val="007F0FF3"/>
    <w:rsid w:val="007F3620"/>
    <w:rsid w:val="007F7470"/>
    <w:rsid w:val="008028FD"/>
    <w:rsid w:val="008043F5"/>
    <w:rsid w:val="00811DC7"/>
    <w:rsid w:val="00813562"/>
    <w:rsid w:val="00815E0E"/>
    <w:rsid w:val="00820293"/>
    <w:rsid w:val="00822C52"/>
    <w:rsid w:val="00830A5D"/>
    <w:rsid w:val="00832A08"/>
    <w:rsid w:val="00835550"/>
    <w:rsid w:val="008361AB"/>
    <w:rsid w:val="0083667F"/>
    <w:rsid w:val="00847E0E"/>
    <w:rsid w:val="00851CC6"/>
    <w:rsid w:val="00851D04"/>
    <w:rsid w:val="008529B9"/>
    <w:rsid w:val="00852DD3"/>
    <w:rsid w:val="00855A7B"/>
    <w:rsid w:val="0085690D"/>
    <w:rsid w:val="008601FF"/>
    <w:rsid w:val="00862045"/>
    <w:rsid w:val="008620AB"/>
    <w:rsid w:val="008700CD"/>
    <w:rsid w:val="0087157A"/>
    <w:rsid w:val="0087188A"/>
    <w:rsid w:val="0088031E"/>
    <w:rsid w:val="0088224B"/>
    <w:rsid w:val="00891270"/>
    <w:rsid w:val="0089133C"/>
    <w:rsid w:val="008914CD"/>
    <w:rsid w:val="00892541"/>
    <w:rsid w:val="00892739"/>
    <w:rsid w:val="00893440"/>
    <w:rsid w:val="008A3EE8"/>
    <w:rsid w:val="008A5214"/>
    <w:rsid w:val="008A61DC"/>
    <w:rsid w:val="008B5ADC"/>
    <w:rsid w:val="008B7AFE"/>
    <w:rsid w:val="008C179A"/>
    <w:rsid w:val="008C57DC"/>
    <w:rsid w:val="008D1797"/>
    <w:rsid w:val="008D2B0B"/>
    <w:rsid w:val="008D5136"/>
    <w:rsid w:val="008D7949"/>
    <w:rsid w:val="008E2D30"/>
    <w:rsid w:val="008F1D0F"/>
    <w:rsid w:val="008F2A43"/>
    <w:rsid w:val="008F47A7"/>
    <w:rsid w:val="00900F17"/>
    <w:rsid w:val="00901555"/>
    <w:rsid w:val="00912D9D"/>
    <w:rsid w:val="00915DA1"/>
    <w:rsid w:val="00922804"/>
    <w:rsid w:val="00926D0B"/>
    <w:rsid w:val="00927919"/>
    <w:rsid w:val="00930F28"/>
    <w:rsid w:val="00932365"/>
    <w:rsid w:val="009332B0"/>
    <w:rsid w:val="00936186"/>
    <w:rsid w:val="00941762"/>
    <w:rsid w:val="0094311E"/>
    <w:rsid w:val="00951DA5"/>
    <w:rsid w:val="00951F38"/>
    <w:rsid w:val="00954333"/>
    <w:rsid w:val="009602BF"/>
    <w:rsid w:val="00961618"/>
    <w:rsid w:val="00965E68"/>
    <w:rsid w:val="009712D6"/>
    <w:rsid w:val="00971A9F"/>
    <w:rsid w:val="00973C61"/>
    <w:rsid w:val="0097601F"/>
    <w:rsid w:val="00977CD4"/>
    <w:rsid w:val="009842AC"/>
    <w:rsid w:val="00986055"/>
    <w:rsid w:val="00986B76"/>
    <w:rsid w:val="00987CD4"/>
    <w:rsid w:val="00992F15"/>
    <w:rsid w:val="009930D0"/>
    <w:rsid w:val="0099512C"/>
    <w:rsid w:val="00995B65"/>
    <w:rsid w:val="00995F16"/>
    <w:rsid w:val="009A0952"/>
    <w:rsid w:val="009A3DB1"/>
    <w:rsid w:val="009A43E0"/>
    <w:rsid w:val="009A5DD6"/>
    <w:rsid w:val="009B230F"/>
    <w:rsid w:val="009B31F8"/>
    <w:rsid w:val="009B3C10"/>
    <w:rsid w:val="009B6B28"/>
    <w:rsid w:val="009B763D"/>
    <w:rsid w:val="009B7760"/>
    <w:rsid w:val="009C2CE9"/>
    <w:rsid w:val="009C59A6"/>
    <w:rsid w:val="009D074F"/>
    <w:rsid w:val="009D3A18"/>
    <w:rsid w:val="009D4C59"/>
    <w:rsid w:val="009E0889"/>
    <w:rsid w:val="009E17CC"/>
    <w:rsid w:val="009E2F3D"/>
    <w:rsid w:val="009E46D4"/>
    <w:rsid w:val="009E7505"/>
    <w:rsid w:val="009F1BBA"/>
    <w:rsid w:val="009F1E51"/>
    <w:rsid w:val="009F6CE2"/>
    <w:rsid w:val="009F7286"/>
    <w:rsid w:val="00A03D1D"/>
    <w:rsid w:val="00A04D78"/>
    <w:rsid w:val="00A05FE5"/>
    <w:rsid w:val="00A06603"/>
    <w:rsid w:val="00A06977"/>
    <w:rsid w:val="00A10437"/>
    <w:rsid w:val="00A108F8"/>
    <w:rsid w:val="00A10F13"/>
    <w:rsid w:val="00A14B9C"/>
    <w:rsid w:val="00A14C29"/>
    <w:rsid w:val="00A2422B"/>
    <w:rsid w:val="00A32893"/>
    <w:rsid w:val="00A41D95"/>
    <w:rsid w:val="00A44A39"/>
    <w:rsid w:val="00A473F5"/>
    <w:rsid w:val="00A473F8"/>
    <w:rsid w:val="00A5246D"/>
    <w:rsid w:val="00A5247F"/>
    <w:rsid w:val="00A52F6D"/>
    <w:rsid w:val="00A5494B"/>
    <w:rsid w:val="00A6057B"/>
    <w:rsid w:val="00A60B25"/>
    <w:rsid w:val="00A7074A"/>
    <w:rsid w:val="00A71AF8"/>
    <w:rsid w:val="00A732B3"/>
    <w:rsid w:val="00A75B3E"/>
    <w:rsid w:val="00A7756A"/>
    <w:rsid w:val="00A8227E"/>
    <w:rsid w:val="00A84403"/>
    <w:rsid w:val="00A861E1"/>
    <w:rsid w:val="00A872CB"/>
    <w:rsid w:val="00A9067D"/>
    <w:rsid w:val="00A90A29"/>
    <w:rsid w:val="00A926D7"/>
    <w:rsid w:val="00A931B6"/>
    <w:rsid w:val="00A96012"/>
    <w:rsid w:val="00AA0CCB"/>
    <w:rsid w:val="00AA0FD6"/>
    <w:rsid w:val="00AA6C2F"/>
    <w:rsid w:val="00AA7EB4"/>
    <w:rsid w:val="00AB0B29"/>
    <w:rsid w:val="00AB16D7"/>
    <w:rsid w:val="00AB6A83"/>
    <w:rsid w:val="00AB74A9"/>
    <w:rsid w:val="00AC12BE"/>
    <w:rsid w:val="00AC2305"/>
    <w:rsid w:val="00AC7249"/>
    <w:rsid w:val="00AD2EBF"/>
    <w:rsid w:val="00AD76D5"/>
    <w:rsid w:val="00AF25C9"/>
    <w:rsid w:val="00AF4363"/>
    <w:rsid w:val="00AF4496"/>
    <w:rsid w:val="00B0161B"/>
    <w:rsid w:val="00B07BA3"/>
    <w:rsid w:val="00B127AD"/>
    <w:rsid w:val="00B14461"/>
    <w:rsid w:val="00B1556C"/>
    <w:rsid w:val="00B16830"/>
    <w:rsid w:val="00B25A0D"/>
    <w:rsid w:val="00B31079"/>
    <w:rsid w:val="00B33D41"/>
    <w:rsid w:val="00B4066A"/>
    <w:rsid w:val="00B41856"/>
    <w:rsid w:val="00B418F2"/>
    <w:rsid w:val="00B43A67"/>
    <w:rsid w:val="00B44B89"/>
    <w:rsid w:val="00B47226"/>
    <w:rsid w:val="00B515E5"/>
    <w:rsid w:val="00B51B0F"/>
    <w:rsid w:val="00B51C93"/>
    <w:rsid w:val="00B5370B"/>
    <w:rsid w:val="00B56992"/>
    <w:rsid w:val="00B606D0"/>
    <w:rsid w:val="00B645AB"/>
    <w:rsid w:val="00B72C28"/>
    <w:rsid w:val="00B73412"/>
    <w:rsid w:val="00B812AD"/>
    <w:rsid w:val="00B81A77"/>
    <w:rsid w:val="00B8226F"/>
    <w:rsid w:val="00B844E2"/>
    <w:rsid w:val="00B8452D"/>
    <w:rsid w:val="00B901B5"/>
    <w:rsid w:val="00B96C36"/>
    <w:rsid w:val="00BA035A"/>
    <w:rsid w:val="00BA09D2"/>
    <w:rsid w:val="00BA27D9"/>
    <w:rsid w:val="00BA617B"/>
    <w:rsid w:val="00BA7C35"/>
    <w:rsid w:val="00BB0741"/>
    <w:rsid w:val="00BB07CF"/>
    <w:rsid w:val="00BB5EA4"/>
    <w:rsid w:val="00BB6EDF"/>
    <w:rsid w:val="00BB6FED"/>
    <w:rsid w:val="00BC0937"/>
    <w:rsid w:val="00BC69F1"/>
    <w:rsid w:val="00BD0489"/>
    <w:rsid w:val="00BD46DF"/>
    <w:rsid w:val="00BD648E"/>
    <w:rsid w:val="00BD65A2"/>
    <w:rsid w:val="00BD7E94"/>
    <w:rsid w:val="00BE5122"/>
    <w:rsid w:val="00BE7CF1"/>
    <w:rsid w:val="00BF1EFE"/>
    <w:rsid w:val="00BF25C4"/>
    <w:rsid w:val="00BF391D"/>
    <w:rsid w:val="00BF79FA"/>
    <w:rsid w:val="00C0404A"/>
    <w:rsid w:val="00C047FD"/>
    <w:rsid w:val="00C06BAF"/>
    <w:rsid w:val="00C13B8F"/>
    <w:rsid w:val="00C21AFE"/>
    <w:rsid w:val="00C220AC"/>
    <w:rsid w:val="00C24113"/>
    <w:rsid w:val="00C25C6A"/>
    <w:rsid w:val="00C26482"/>
    <w:rsid w:val="00C264BC"/>
    <w:rsid w:val="00C336FB"/>
    <w:rsid w:val="00C3496E"/>
    <w:rsid w:val="00C35D64"/>
    <w:rsid w:val="00C35D7D"/>
    <w:rsid w:val="00C36479"/>
    <w:rsid w:val="00C36DD2"/>
    <w:rsid w:val="00C3717B"/>
    <w:rsid w:val="00C42010"/>
    <w:rsid w:val="00C42BA3"/>
    <w:rsid w:val="00C443EF"/>
    <w:rsid w:val="00C50F93"/>
    <w:rsid w:val="00C5565B"/>
    <w:rsid w:val="00C57E1F"/>
    <w:rsid w:val="00C6364A"/>
    <w:rsid w:val="00C65F21"/>
    <w:rsid w:val="00C7582E"/>
    <w:rsid w:val="00C779F8"/>
    <w:rsid w:val="00C807DA"/>
    <w:rsid w:val="00C8548C"/>
    <w:rsid w:val="00C90E87"/>
    <w:rsid w:val="00C925BC"/>
    <w:rsid w:val="00CA2AA7"/>
    <w:rsid w:val="00CA3575"/>
    <w:rsid w:val="00CA4B75"/>
    <w:rsid w:val="00CA7077"/>
    <w:rsid w:val="00CC3F62"/>
    <w:rsid w:val="00CD00EB"/>
    <w:rsid w:val="00CD171E"/>
    <w:rsid w:val="00CD6FBC"/>
    <w:rsid w:val="00CD7610"/>
    <w:rsid w:val="00CD7698"/>
    <w:rsid w:val="00CE6F9D"/>
    <w:rsid w:val="00CF5649"/>
    <w:rsid w:val="00D01EEC"/>
    <w:rsid w:val="00D021B2"/>
    <w:rsid w:val="00D049A2"/>
    <w:rsid w:val="00D0719E"/>
    <w:rsid w:val="00D077BF"/>
    <w:rsid w:val="00D1067C"/>
    <w:rsid w:val="00D10D05"/>
    <w:rsid w:val="00D13524"/>
    <w:rsid w:val="00D17790"/>
    <w:rsid w:val="00D20C37"/>
    <w:rsid w:val="00D25017"/>
    <w:rsid w:val="00D30A9C"/>
    <w:rsid w:val="00D32FD2"/>
    <w:rsid w:val="00D33883"/>
    <w:rsid w:val="00D35E82"/>
    <w:rsid w:val="00D45C4A"/>
    <w:rsid w:val="00D50070"/>
    <w:rsid w:val="00D5074A"/>
    <w:rsid w:val="00D508EE"/>
    <w:rsid w:val="00D50B0D"/>
    <w:rsid w:val="00D53743"/>
    <w:rsid w:val="00D62BD9"/>
    <w:rsid w:val="00D708A7"/>
    <w:rsid w:val="00D71242"/>
    <w:rsid w:val="00D71E30"/>
    <w:rsid w:val="00D7381B"/>
    <w:rsid w:val="00D743D4"/>
    <w:rsid w:val="00D74950"/>
    <w:rsid w:val="00D765A4"/>
    <w:rsid w:val="00D81CB1"/>
    <w:rsid w:val="00D81D47"/>
    <w:rsid w:val="00D823BF"/>
    <w:rsid w:val="00D8603D"/>
    <w:rsid w:val="00D86077"/>
    <w:rsid w:val="00DA07AC"/>
    <w:rsid w:val="00DA0E48"/>
    <w:rsid w:val="00DA115A"/>
    <w:rsid w:val="00DA4898"/>
    <w:rsid w:val="00DA50AF"/>
    <w:rsid w:val="00DA60E0"/>
    <w:rsid w:val="00DB07ED"/>
    <w:rsid w:val="00DB1861"/>
    <w:rsid w:val="00DB206C"/>
    <w:rsid w:val="00DB2FCD"/>
    <w:rsid w:val="00DB5231"/>
    <w:rsid w:val="00DD7027"/>
    <w:rsid w:val="00DD7741"/>
    <w:rsid w:val="00DE07EB"/>
    <w:rsid w:val="00DE202F"/>
    <w:rsid w:val="00DE5E73"/>
    <w:rsid w:val="00DE68F0"/>
    <w:rsid w:val="00DE76A4"/>
    <w:rsid w:val="00E00421"/>
    <w:rsid w:val="00E00D1A"/>
    <w:rsid w:val="00E00FAB"/>
    <w:rsid w:val="00E01B7C"/>
    <w:rsid w:val="00E0330F"/>
    <w:rsid w:val="00E052E5"/>
    <w:rsid w:val="00E07A69"/>
    <w:rsid w:val="00E11174"/>
    <w:rsid w:val="00E128FB"/>
    <w:rsid w:val="00E15789"/>
    <w:rsid w:val="00E15896"/>
    <w:rsid w:val="00E172F0"/>
    <w:rsid w:val="00E223F6"/>
    <w:rsid w:val="00E2275C"/>
    <w:rsid w:val="00E24549"/>
    <w:rsid w:val="00E25B81"/>
    <w:rsid w:val="00E312B2"/>
    <w:rsid w:val="00E35373"/>
    <w:rsid w:val="00E365B3"/>
    <w:rsid w:val="00E36D35"/>
    <w:rsid w:val="00E41121"/>
    <w:rsid w:val="00E423EF"/>
    <w:rsid w:val="00E42A78"/>
    <w:rsid w:val="00E430F0"/>
    <w:rsid w:val="00E451A5"/>
    <w:rsid w:val="00E45C20"/>
    <w:rsid w:val="00E47198"/>
    <w:rsid w:val="00E536A4"/>
    <w:rsid w:val="00E537AE"/>
    <w:rsid w:val="00E553F2"/>
    <w:rsid w:val="00E55465"/>
    <w:rsid w:val="00E64904"/>
    <w:rsid w:val="00E673BE"/>
    <w:rsid w:val="00E67BAF"/>
    <w:rsid w:val="00E72553"/>
    <w:rsid w:val="00E730A9"/>
    <w:rsid w:val="00E82F24"/>
    <w:rsid w:val="00E83BAC"/>
    <w:rsid w:val="00E86231"/>
    <w:rsid w:val="00E919E5"/>
    <w:rsid w:val="00E92A87"/>
    <w:rsid w:val="00E93327"/>
    <w:rsid w:val="00E93EE0"/>
    <w:rsid w:val="00E95A6E"/>
    <w:rsid w:val="00EA440B"/>
    <w:rsid w:val="00EA6265"/>
    <w:rsid w:val="00EA7068"/>
    <w:rsid w:val="00EA7482"/>
    <w:rsid w:val="00EB500C"/>
    <w:rsid w:val="00EB6205"/>
    <w:rsid w:val="00EB6813"/>
    <w:rsid w:val="00EB7BB6"/>
    <w:rsid w:val="00EB7DD8"/>
    <w:rsid w:val="00EC02C3"/>
    <w:rsid w:val="00EC6BD4"/>
    <w:rsid w:val="00EC7E8B"/>
    <w:rsid w:val="00ED28A5"/>
    <w:rsid w:val="00ED6185"/>
    <w:rsid w:val="00EE0EE3"/>
    <w:rsid w:val="00EE341D"/>
    <w:rsid w:val="00EE3C6A"/>
    <w:rsid w:val="00EE47F4"/>
    <w:rsid w:val="00EE77CC"/>
    <w:rsid w:val="00EF0B46"/>
    <w:rsid w:val="00EF1C6A"/>
    <w:rsid w:val="00EF234C"/>
    <w:rsid w:val="00EF2638"/>
    <w:rsid w:val="00EF53F6"/>
    <w:rsid w:val="00F01B6C"/>
    <w:rsid w:val="00F02279"/>
    <w:rsid w:val="00F0272B"/>
    <w:rsid w:val="00F03CBA"/>
    <w:rsid w:val="00F110C3"/>
    <w:rsid w:val="00F12AE7"/>
    <w:rsid w:val="00F204DE"/>
    <w:rsid w:val="00F2341C"/>
    <w:rsid w:val="00F2765C"/>
    <w:rsid w:val="00F315B7"/>
    <w:rsid w:val="00F351EA"/>
    <w:rsid w:val="00F364DD"/>
    <w:rsid w:val="00F4718A"/>
    <w:rsid w:val="00F478F8"/>
    <w:rsid w:val="00F6000F"/>
    <w:rsid w:val="00F609DE"/>
    <w:rsid w:val="00F60B5F"/>
    <w:rsid w:val="00F626FC"/>
    <w:rsid w:val="00F62EAC"/>
    <w:rsid w:val="00F64E7D"/>
    <w:rsid w:val="00F65A42"/>
    <w:rsid w:val="00F75FA0"/>
    <w:rsid w:val="00F768DE"/>
    <w:rsid w:val="00F83511"/>
    <w:rsid w:val="00F855B1"/>
    <w:rsid w:val="00F85F61"/>
    <w:rsid w:val="00FA04B6"/>
    <w:rsid w:val="00FA77DE"/>
    <w:rsid w:val="00FB005D"/>
    <w:rsid w:val="00FB2426"/>
    <w:rsid w:val="00FB2A52"/>
    <w:rsid w:val="00FB38D0"/>
    <w:rsid w:val="00FC169F"/>
    <w:rsid w:val="00FC3390"/>
    <w:rsid w:val="00FC3532"/>
    <w:rsid w:val="00FC79A7"/>
    <w:rsid w:val="00FD0E24"/>
    <w:rsid w:val="00FD1A8B"/>
    <w:rsid w:val="00FD23EE"/>
    <w:rsid w:val="00FD4D59"/>
    <w:rsid w:val="00FD52E9"/>
    <w:rsid w:val="00FE044B"/>
    <w:rsid w:val="00FF7949"/>
    <w:rsid w:val="00FF7F6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F839"/>
  <w15:chartTrackingRefBased/>
  <w15:docId w15:val="{E9C299C1-3AD9-4ECB-B112-D1CFB2753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155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A13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555"/>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015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1555"/>
    <w:rPr>
      <w:b/>
      <w:bCs/>
    </w:rPr>
  </w:style>
  <w:style w:type="character" w:styleId="Emphasis">
    <w:name w:val="Emphasis"/>
    <w:basedOn w:val="DefaultParagraphFont"/>
    <w:uiPriority w:val="20"/>
    <w:qFormat/>
    <w:rsid w:val="00901555"/>
    <w:rPr>
      <w:i/>
      <w:iCs/>
    </w:rPr>
  </w:style>
  <w:style w:type="character" w:customStyle="1" w:styleId="Heading1Char">
    <w:name w:val="Heading 1 Char"/>
    <w:basedOn w:val="DefaultParagraphFont"/>
    <w:link w:val="Heading1"/>
    <w:uiPriority w:val="9"/>
    <w:rsid w:val="00DB07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13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A50AA"/>
    <w:pPr>
      <w:ind w:left="720"/>
      <w:contextualSpacing/>
    </w:pPr>
  </w:style>
  <w:style w:type="character" w:styleId="Hyperlink">
    <w:name w:val="Hyperlink"/>
    <w:basedOn w:val="DefaultParagraphFont"/>
    <w:uiPriority w:val="99"/>
    <w:unhideWhenUsed/>
    <w:rsid w:val="00BA7C35"/>
    <w:rPr>
      <w:color w:val="0563C1" w:themeColor="hyperlink"/>
      <w:u w:val="single"/>
    </w:rPr>
  </w:style>
  <w:style w:type="character" w:styleId="UnresolvedMention">
    <w:name w:val="Unresolved Mention"/>
    <w:basedOn w:val="DefaultParagraphFont"/>
    <w:uiPriority w:val="99"/>
    <w:semiHidden/>
    <w:unhideWhenUsed/>
    <w:rsid w:val="00BA7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6888">
      <w:bodyDiv w:val="1"/>
      <w:marLeft w:val="0"/>
      <w:marRight w:val="0"/>
      <w:marTop w:val="0"/>
      <w:marBottom w:val="0"/>
      <w:divBdr>
        <w:top w:val="none" w:sz="0" w:space="0" w:color="auto"/>
        <w:left w:val="none" w:sz="0" w:space="0" w:color="auto"/>
        <w:bottom w:val="none" w:sz="0" w:space="0" w:color="auto"/>
        <w:right w:val="none" w:sz="0" w:space="0" w:color="auto"/>
      </w:divBdr>
    </w:div>
    <w:div w:id="246425909">
      <w:bodyDiv w:val="1"/>
      <w:marLeft w:val="0"/>
      <w:marRight w:val="0"/>
      <w:marTop w:val="0"/>
      <w:marBottom w:val="0"/>
      <w:divBdr>
        <w:top w:val="none" w:sz="0" w:space="0" w:color="auto"/>
        <w:left w:val="none" w:sz="0" w:space="0" w:color="auto"/>
        <w:bottom w:val="none" w:sz="0" w:space="0" w:color="auto"/>
        <w:right w:val="none" w:sz="0" w:space="0" w:color="auto"/>
      </w:divBdr>
    </w:div>
    <w:div w:id="255480592">
      <w:bodyDiv w:val="1"/>
      <w:marLeft w:val="0"/>
      <w:marRight w:val="0"/>
      <w:marTop w:val="0"/>
      <w:marBottom w:val="0"/>
      <w:divBdr>
        <w:top w:val="none" w:sz="0" w:space="0" w:color="auto"/>
        <w:left w:val="none" w:sz="0" w:space="0" w:color="auto"/>
        <w:bottom w:val="none" w:sz="0" w:space="0" w:color="auto"/>
        <w:right w:val="none" w:sz="0" w:space="0" w:color="auto"/>
      </w:divBdr>
    </w:div>
    <w:div w:id="452873072">
      <w:bodyDiv w:val="1"/>
      <w:marLeft w:val="0"/>
      <w:marRight w:val="0"/>
      <w:marTop w:val="0"/>
      <w:marBottom w:val="0"/>
      <w:divBdr>
        <w:top w:val="none" w:sz="0" w:space="0" w:color="auto"/>
        <w:left w:val="none" w:sz="0" w:space="0" w:color="auto"/>
        <w:bottom w:val="none" w:sz="0" w:space="0" w:color="auto"/>
        <w:right w:val="none" w:sz="0" w:space="0" w:color="auto"/>
      </w:divBdr>
    </w:div>
    <w:div w:id="644243186">
      <w:bodyDiv w:val="1"/>
      <w:marLeft w:val="0"/>
      <w:marRight w:val="0"/>
      <w:marTop w:val="0"/>
      <w:marBottom w:val="0"/>
      <w:divBdr>
        <w:top w:val="none" w:sz="0" w:space="0" w:color="auto"/>
        <w:left w:val="none" w:sz="0" w:space="0" w:color="auto"/>
        <w:bottom w:val="none" w:sz="0" w:space="0" w:color="auto"/>
        <w:right w:val="none" w:sz="0" w:space="0" w:color="auto"/>
      </w:divBdr>
    </w:div>
    <w:div w:id="747770853">
      <w:bodyDiv w:val="1"/>
      <w:marLeft w:val="0"/>
      <w:marRight w:val="0"/>
      <w:marTop w:val="0"/>
      <w:marBottom w:val="0"/>
      <w:divBdr>
        <w:top w:val="none" w:sz="0" w:space="0" w:color="auto"/>
        <w:left w:val="none" w:sz="0" w:space="0" w:color="auto"/>
        <w:bottom w:val="none" w:sz="0" w:space="0" w:color="auto"/>
        <w:right w:val="none" w:sz="0" w:space="0" w:color="auto"/>
      </w:divBdr>
    </w:div>
    <w:div w:id="794523347">
      <w:bodyDiv w:val="1"/>
      <w:marLeft w:val="0"/>
      <w:marRight w:val="0"/>
      <w:marTop w:val="0"/>
      <w:marBottom w:val="0"/>
      <w:divBdr>
        <w:top w:val="none" w:sz="0" w:space="0" w:color="auto"/>
        <w:left w:val="none" w:sz="0" w:space="0" w:color="auto"/>
        <w:bottom w:val="none" w:sz="0" w:space="0" w:color="auto"/>
        <w:right w:val="none" w:sz="0" w:space="0" w:color="auto"/>
      </w:divBdr>
    </w:div>
    <w:div w:id="818108317">
      <w:bodyDiv w:val="1"/>
      <w:marLeft w:val="0"/>
      <w:marRight w:val="0"/>
      <w:marTop w:val="0"/>
      <w:marBottom w:val="0"/>
      <w:divBdr>
        <w:top w:val="none" w:sz="0" w:space="0" w:color="auto"/>
        <w:left w:val="none" w:sz="0" w:space="0" w:color="auto"/>
        <w:bottom w:val="none" w:sz="0" w:space="0" w:color="auto"/>
        <w:right w:val="none" w:sz="0" w:space="0" w:color="auto"/>
      </w:divBdr>
    </w:div>
    <w:div w:id="860557531">
      <w:bodyDiv w:val="1"/>
      <w:marLeft w:val="0"/>
      <w:marRight w:val="0"/>
      <w:marTop w:val="0"/>
      <w:marBottom w:val="0"/>
      <w:divBdr>
        <w:top w:val="none" w:sz="0" w:space="0" w:color="auto"/>
        <w:left w:val="none" w:sz="0" w:space="0" w:color="auto"/>
        <w:bottom w:val="none" w:sz="0" w:space="0" w:color="auto"/>
        <w:right w:val="none" w:sz="0" w:space="0" w:color="auto"/>
      </w:divBdr>
    </w:div>
    <w:div w:id="1143043849">
      <w:bodyDiv w:val="1"/>
      <w:marLeft w:val="0"/>
      <w:marRight w:val="0"/>
      <w:marTop w:val="0"/>
      <w:marBottom w:val="0"/>
      <w:divBdr>
        <w:top w:val="none" w:sz="0" w:space="0" w:color="auto"/>
        <w:left w:val="none" w:sz="0" w:space="0" w:color="auto"/>
        <w:bottom w:val="none" w:sz="0" w:space="0" w:color="auto"/>
        <w:right w:val="none" w:sz="0" w:space="0" w:color="auto"/>
      </w:divBdr>
    </w:div>
    <w:div w:id="1320577957">
      <w:bodyDiv w:val="1"/>
      <w:marLeft w:val="0"/>
      <w:marRight w:val="0"/>
      <w:marTop w:val="0"/>
      <w:marBottom w:val="0"/>
      <w:divBdr>
        <w:top w:val="none" w:sz="0" w:space="0" w:color="auto"/>
        <w:left w:val="none" w:sz="0" w:space="0" w:color="auto"/>
        <w:bottom w:val="none" w:sz="0" w:space="0" w:color="auto"/>
        <w:right w:val="none" w:sz="0" w:space="0" w:color="auto"/>
      </w:divBdr>
    </w:div>
    <w:div w:id="1821075533">
      <w:bodyDiv w:val="1"/>
      <w:marLeft w:val="0"/>
      <w:marRight w:val="0"/>
      <w:marTop w:val="0"/>
      <w:marBottom w:val="0"/>
      <w:divBdr>
        <w:top w:val="none" w:sz="0" w:space="0" w:color="auto"/>
        <w:left w:val="none" w:sz="0" w:space="0" w:color="auto"/>
        <w:bottom w:val="none" w:sz="0" w:space="0" w:color="auto"/>
        <w:right w:val="none" w:sz="0" w:space="0" w:color="auto"/>
      </w:divBdr>
    </w:div>
    <w:div w:id="1844204604">
      <w:bodyDiv w:val="1"/>
      <w:marLeft w:val="0"/>
      <w:marRight w:val="0"/>
      <w:marTop w:val="0"/>
      <w:marBottom w:val="0"/>
      <w:divBdr>
        <w:top w:val="none" w:sz="0" w:space="0" w:color="auto"/>
        <w:left w:val="none" w:sz="0" w:space="0" w:color="auto"/>
        <w:bottom w:val="none" w:sz="0" w:space="0" w:color="auto"/>
        <w:right w:val="none" w:sz="0" w:space="0" w:color="auto"/>
      </w:divBdr>
      <w:divsChild>
        <w:div w:id="626082343">
          <w:marLeft w:val="0"/>
          <w:marRight w:val="0"/>
          <w:marTop w:val="0"/>
          <w:marBottom w:val="0"/>
          <w:divBdr>
            <w:top w:val="none" w:sz="0" w:space="0" w:color="auto"/>
            <w:left w:val="none" w:sz="0" w:space="0" w:color="auto"/>
            <w:bottom w:val="none" w:sz="0" w:space="0" w:color="auto"/>
            <w:right w:val="none" w:sz="0" w:space="0" w:color="auto"/>
          </w:divBdr>
        </w:div>
        <w:div w:id="2022050481">
          <w:marLeft w:val="0"/>
          <w:marRight w:val="0"/>
          <w:marTop w:val="0"/>
          <w:marBottom w:val="0"/>
          <w:divBdr>
            <w:top w:val="none" w:sz="0" w:space="0" w:color="auto"/>
            <w:left w:val="none" w:sz="0" w:space="0" w:color="auto"/>
            <w:bottom w:val="none" w:sz="0" w:space="0" w:color="auto"/>
            <w:right w:val="none" w:sz="0" w:space="0" w:color="auto"/>
          </w:divBdr>
        </w:div>
        <w:div w:id="692195365">
          <w:marLeft w:val="0"/>
          <w:marRight w:val="0"/>
          <w:marTop w:val="0"/>
          <w:marBottom w:val="0"/>
          <w:divBdr>
            <w:top w:val="none" w:sz="0" w:space="0" w:color="auto"/>
            <w:left w:val="none" w:sz="0" w:space="0" w:color="auto"/>
            <w:bottom w:val="none" w:sz="0" w:space="0" w:color="auto"/>
            <w:right w:val="none" w:sz="0" w:space="0" w:color="auto"/>
          </w:divBdr>
        </w:div>
      </w:divsChild>
    </w:div>
    <w:div w:id="211255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global.com/spdji/en/indices/equity/dow-jones-us-real-estate-index/" TargetMode="External"/><Relationship Id="rId13" Type="http://schemas.openxmlformats.org/officeDocument/2006/relationships/hyperlink" Target="https://stats.wto.org/" TargetMode="External"/><Relationship Id="rId3" Type="http://schemas.openxmlformats.org/officeDocument/2006/relationships/settings" Target="settings.xml"/><Relationship Id="rId7" Type="http://schemas.openxmlformats.org/officeDocument/2006/relationships/hyperlink" Target="https://tradingeconomics.com/united-states/housing-index" TargetMode="External"/><Relationship Id="rId12" Type="http://schemas.openxmlformats.org/officeDocument/2006/relationships/hyperlink" Target="https://catalog.data.gov/dataset/fhfa-house-price-indexes-hpis-948c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ces/" TargetMode="External"/><Relationship Id="rId11" Type="http://schemas.openxmlformats.org/officeDocument/2006/relationships/hyperlink" Target="https://catalog.data.gov/dataset?q=fhfa" TargetMode="External"/><Relationship Id="rId5" Type="http://schemas.openxmlformats.org/officeDocument/2006/relationships/hyperlink" Target="https://www.atlantafed.org/chcs/wage-growth-tracker" TargetMode="External"/><Relationship Id="rId15" Type="http://schemas.openxmlformats.org/officeDocument/2006/relationships/theme" Target="theme/theme1.xml"/><Relationship Id="rId10" Type="http://schemas.openxmlformats.org/officeDocument/2006/relationships/hyperlink" Target="https://www.fhfa.gov/Dashboards/UAD/Pages/uad_advanced_analytics.aspx" TargetMode="External"/><Relationship Id="rId4" Type="http://schemas.openxmlformats.org/officeDocument/2006/relationships/webSettings" Target="webSettings.xml"/><Relationship Id="rId9" Type="http://schemas.openxmlformats.org/officeDocument/2006/relationships/hyperlink" Target="https://www.fhfa.gov/AboutUs/Reports/ReportDocuments/FHFA-HPI-Monthly_12262023.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2361</TotalTime>
  <Pages>11</Pages>
  <Words>4899</Words>
  <Characters>26945</Characters>
  <Application>Microsoft Office Word</Application>
  <DocSecurity>0</DocSecurity>
  <Lines>224</Lines>
  <Paragraphs>63</Paragraphs>
  <ScaleCrop>false</ScaleCrop>
  <Company/>
  <LinksUpToDate>false</LinksUpToDate>
  <CharactersWithSpaces>31781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Bonfil Penella</dc:creator>
  <cp:keywords/>
  <dc:description/>
  <cp:lastModifiedBy>Daniel Alejandro Bonfil Penella</cp:lastModifiedBy>
  <cp:revision>486</cp:revision>
  <dcterms:created xsi:type="dcterms:W3CDTF">2024-01-03T01:25:00Z</dcterms:created>
  <dcterms:modified xsi:type="dcterms:W3CDTF">2024-01-05T14:21:00Z</dcterms:modified>
</cp:coreProperties>
</file>