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238250" cy="952500"/>
            <wp:effectExtent t="0" r="0" b="0" l="0"/>
            <wp:docPr id="1" name="logo-aqbrs" descr="Logo AQBRS" title="Logo AQB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bCs/>
          <w:color w:val="1E3A5F"/>
          <w:sz w:val="22"/>
          <w:szCs w:val="22"/>
        </w:rPr>
        <w:t xml:space="preserve">Association québécoise des bénévoles</w:t>
      </w:r>
    </w:p>
    <w:p>
      <w:pPr>
        <w:spacing w:after="0"/>
      </w:pPr>
      <w:r>
        <w:rPr>
          <w:b/>
          <w:bCs/>
          <w:color w:val="1E3A5F"/>
          <w:sz w:val="22"/>
          <w:szCs w:val="22"/>
        </w:rPr>
        <w:t xml:space="preserve">en recherche et sauvetage (AQBRS)</w:t>
      </w:r>
    </w:p>
    <w:p>
      <w:pPr>
        <w:spacing w:after="0"/>
      </w:pPr>
      <w:r>
        <w:rPr>
          <w:color w:val="666666"/>
          <w:sz w:val="20"/>
          <w:szCs w:val="20"/>
        </w:rPr>
        <w:t xml:space="preserve">dany.chaput@aqbrs.ca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portail.riusc.ca</w:t>
      </w:r>
    </w:p>
    <w:p>
      <w:pPr>
        <w:spacing w:after="400"/>
      </w:pPr>
      <w:r>
        <w:t xml:space="preserve">11 avril 2026</w:t>
      </w:r>
    </w:p>
    <w:p>
      <w:pPr>
        <w:spacing w:after="0"/>
      </w:pPr>
      <w:r>
        <w:rPr>
          <w:b/>
          <w:bCs/>
        </w:rPr>
        <w:t xml:space="preserve">Steve Boivin, CGU</w:t>
      </w:r>
    </w:p>
    <w:p>
      <w:pPr>
        <w:spacing w:after="0"/>
      </w:pPr>
      <w:r>
        <w:t xml:space="preserve">Directeur</w:t>
      </w:r>
    </w:p>
    <w:p>
      <w:pPr>
        <w:spacing w:after="0"/>
      </w:pPr>
      <w:r>
        <w:t xml:space="preserve">Réserve d’intervention d’urgence en sécurité civile</w:t>
      </w:r>
    </w:p>
    <w:p>
      <w:pPr>
        <w:spacing w:after="0"/>
      </w:pPr>
      <w:r>
        <w:t xml:space="preserve">Sous-ministériat de la sécurité civile et de la sécurité incendie</w:t>
      </w:r>
    </w:p>
    <w:p>
      <w:pPr>
        <w:spacing w:after="0"/>
      </w:pPr>
      <w:r>
        <w:t xml:space="preserve">2525, boulevard Laurier, Tour des Laurentides, 6e étage</w:t>
      </w:r>
    </w:p>
    <w:p>
      <w:pPr>
        <w:spacing w:after="0"/>
      </w:pPr>
      <w:r>
        <w:t xml:space="preserve">Québec (Québec) G1V 2L2</w:t>
      </w:r>
    </w:p>
    <w:p>
      <w:pPr>
        <w:spacing w:after="400"/>
      </w:pPr>
    </w:p>
    <w:p>
      <w:pPr>
        <w:spacing w:after="400"/>
      </w:pPr>
      <w:r>
        <w:rPr>
          <w:b/>
          <w:bCs/>
        </w:rPr>
        <w:t xml:space="preserve">Objet : </w:t>
      </w:r>
      <w:r>
        <w:t xml:space="preserve">Architecture de sécurité du Portail RIUSC</w:t>
      </w:r>
    </w:p>
    <w:p>
      <w:pPr>
        <w:spacing w:after="200"/>
      </w:pPr>
      <w:r>
        <w:t xml:space="preserve">Monsieur le directeur,</w:t>
      </w:r>
    </w:p>
    <w:p>
      <w:pPr>
        <w:spacing w:after="200"/>
      </w:pPr>
      <w:r>
        <w:t xml:space="preserve">La présente a pour objet de vous transmettre un document présentant l’architecture et la posture de sécurité du Portail RIUSC. Vous trouverez ci-dessous un sommaire exécutif, suivi du document technique détaillé en annexe.</w:t>
      </w:r>
    </w:p>
    <w:p>
      <w:pPr>
        <w:pBdr>
          <w:bottom w:val="single" w:color="1E3A5F" w:sz="4" w:space="8"/>
        </w:pBdr>
        <w:spacing w:after="200" w:before="200"/>
      </w:pPr>
    </w:p>
    <w:p>
      <w:pPr>
        <w:spacing w:after="200" w:before="200"/>
      </w:pPr>
      <w:r>
        <w:rPr>
          <w:b/>
          <w:bCs/>
          <w:color w:val="1E3A5F"/>
          <w:sz w:val="26"/>
          <w:szCs w:val="26"/>
        </w:rPr>
        <w:t xml:space="preserve">Sommaire exécutif</w:t>
      </w:r>
    </w:p>
    <w:p>
      <w:pPr>
        <w:spacing w:after="200"/>
      </w:pPr>
      <w:r>
        <w:t xml:space="preserve">Le Portail RIUSC est une plateforme opérationnelle développée pour soutenir la gestion et le déploiement des réservistes en sécurité civile au Québec. Initialement conçu comme un registre, il a évolué pour répondre aux besoins terrain en intégrant la gestion des profils, disponibilités, certifications et communications d’urgence.</w:t>
      </w:r>
    </w:p>
    <w:p>
      <w:pPr>
        <w:spacing w:after="200"/>
      </w:pPr>
      <w:r>
        <w:t xml:space="preserve">Déployé depuis 2025, le portail est utilisé activement et soutient plus de 900 réservistes. Son adoption rapide démontre sa valeur opérationnelle et sa capacité à répondre efficacement aux exigences des interventions en sécurité civile.</w:t>
      </w:r>
    </w:p>
    <w:p>
      <w:pPr>
        <w:spacing w:after="200"/>
      </w:pPr>
      <w:r>
        <w:t xml:space="preserve">L’architecture repose sur des standards reconnus en matière de sécurité et de protection des renseignements personnels. Toutes les données sensibles sont hébergées exclusivement au Canada (AWS ca-central-1 et OVH Beauharnois), conformément à la Loi 25. Les services externes sont limités à l’acheminement de communications (SMS et courriels), sans stockage permanent de données personnelles.</w:t>
      </w:r>
    </w:p>
    <w:p>
      <w:pPr>
        <w:spacing w:after="200"/>
      </w:pPr>
      <w:r>
        <w:t xml:space="preserve">La plateforme intègre une approche de sécurité multicouche comprenant notamment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authentification sans mot de passe (OTP)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authentification multifactorielle sur tous les services critiques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contrôle d’accès granulaire basé sur les rôles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des données (Row Level Security)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chiffrement complet des données (en transit et au repos)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journalisation complète des accès et actions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protection applicative en frontal (WAF, anti-bot, DDoS)</w:t>
      </w:r>
    </w:p>
    <w:p>
      <w:pPr>
        <w:spacing w:after="200"/>
      </w:pPr>
      <w:r>
        <w:t xml:space="preserve">Ces mesures permettent d’atteindre un niveau de sécurité aligné avec les standards de l’industrie (OWASP, SOC 2) et les exigences de la Loi 25.</w:t>
      </w:r>
    </w:p>
    <w:p>
      <w:pPr>
        <w:spacing w:after="200"/>
      </w:pPr>
      <w:r>
        <w:t xml:space="preserve">Le portail s’inscrit dans une démarche d’amélioration continue, incluant le renforcement de la continuité de service et la mise en place de tests automatisés.</w:t>
      </w:r>
    </w:p>
    <w:p>
      <w:pPr>
        <w:spacing w:after="200"/>
      </w:pPr>
      <w:r>
        <w:t xml:space="preserve">L’AQBRS est disponible pour collaborer avec le MSP afin d’assurer l’alignement du portail avec les orientations gouvernementales et les exigences de gouvernance.</w:t>
      </w:r>
    </w:p>
    <w:p>
      <w:pPr>
        <w:pBdr>
          <w:bottom w:val="single" w:color="1E3A5F" w:sz="4" w:space="8"/>
        </w:pBdr>
        <w:spacing w:after="200" w:before="200"/>
      </w:pPr>
    </w:p>
    <w:p>
      <w:pPr>
        <w:spacing w:after="100" w:before="200"/>
      </w:pPr>
      <w:r>
        <w:rPr>
          <w:b/>
          <w:bCs/>
          <w:color w:val="1E3A5F"/>
          <w:sz w:val="24"/>
          <w:szCs w:val="24"/>
        </w:rPr>
        <w:t xml:space="preserve">Annexe</w:t>
      </w:r>
    </w:p>
    <w:p>
      <w:pPr>
        <w:spacing w:after="200"/>
      </w:pPr>
      <w:r>
        <w:rPr>
          <w:i/>
          <w:iCs/>
          <w:color w:val="666666"/>
        </w:rPr>
        <w:t xml:space="preserve">Le document technique détaillé est fourni en pièce jointe séparée.</w:t>
      </w:r>
    </w:p>
    <w:p>
      <w:pPr>
        <w:spacing w:after="0" w:before="600"/>
      </w:pPr>
      <w:r>
        <w:t xml:space="preserve">Cordialement,</w:t>
      </w:r>
    </w:p>
    <w:p>
      <w:pPr>
        <w:spacing w:after="0" w:before="400"/>
      </w:pPr>
      <w:r>
        <w:rPr>
          <w:b/>
          <w:bCs/>
        </w:rPr>
        <w:t xml:space="preserve">Dany Chaput</w:t>
      </w:r>
    </w:p>
    <w:p>
      <w:pPr>
        <w:spacing w:after="0"/>
      </w:pPr>
      <w:r>
        <w:rPr>
          <w:color w:val="666666"/>
        </w:rPr>
        <w:t xml:space="preserve">AQBRS</w:t>
      </w:r>
    </w:p>
    <w:p>
      <w:pPr>
        <w:spacing w:after="0"/>
      </w:pPr>
      <w:r>
        <w:rPr>
          <w:color w:val="666666"/>
        </w:rPr>
        <w:t xml:space="preserve">riusc@aqbrs.ca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Portail RIUSC - Confidentiel - Avril 2026 -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spacing w:after="200"/>
    </w:pPr>
    <w:r>
      <w:rPr>
        <w:rFonts w:ascii="Arial" w:cs="Arial" w:eastAsia="Arial" w:hAnsi="Arial"/>
        <w:color w:val="999999"/>
        <w:sz w:val="16"/>
        <w:szCs w:val="16"/>
      </w:rPr>
      <w:t xml:space="preserve">AQBRS</w:t>
    </w:r>
    <w:r>
      <w:rPr>
        <w:rFonts w:ascii="Arial" w:cs="Arial" w:eastAsia="Arial" w:hAnsi="Arial"/>
        <w:color w:val="999999"/>
        <w:sz w:val="16"/>
        <w:szCs w:val="16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cda1cb5bce54966f581b42c24705b917d849c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2026-04-11T20:20:55.090Z</dcterms:created>
  <dcterms:modified xsi:type="dcterms:W3CDTF">2026-04-11T20:20:55.090Z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