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40"/>
        </w:rPr>
        <w:t>RESUMEN GENERAL: ACCESO A LA JUSTICIA, DEMOCRACIA Y CIUDADANÍA</w:t>
      </w:r>
    </w:p>
    <w:p>
      <w:pPr>
        <w:spacing w:after="400"/>
        <w:jc w:val="center"/>
      </w:pPr>
      <w:r>
        <w:rPr>
          <w:rFonts w:ascii="Calibri" w:hAnsi="Calibri"/>
          <w:i/>
          <w:color w:val="4A777A"/>
          <w:sz w:val="24"/>
        </w:rPr>
        <w:t>Síntesis temática de los documentos de análisis normativo y formación cívica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Acceso a la Justicia y Personas Mayores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2"/>
        </w:rPr>
        <w:t xml:space="preserve">Marco Conceptual: </w:t>
      </w:r>
      <w:r>
        <w:rPr>
          <w:rFonts w:ascii="Calibri" w:hAnsi="Calibri"/>
          <w:color w:val="282828"/>
          <w:sz w:val="22"/>
        </w:rPr>
        <w:t>El acceso a la justicia es un derecho fundamental indispensable en un Estado de Derecho, el cual debe garantizarse sin discriminación alguna por motivos de edad, sexo, raza o religión [cite: 1]. En el caso de las personas adultas mayores (sector que experimenta un constante crecimiento demográfico), existen múltiples barreras de exclusión estructural que limitan el disfrute pleno de sus derechos [cite: 1].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Obstáculos Económicos: </w:t>
      </w:r>
      <w:r>
        <w:rPr>
          <w:rFonts w:ascii="Calibri" w:hAnsi="Calibri"/>
          <w:color w:val="282828"/>
          <w:sz w:val="22"/>
        </w:rPr>
        <w:t>Pobreza y extrema pobreza que dificultan el traslado y el pago de patrocinio legal [cite: 1, 2].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Barreras Lingüísticas y Culturales: </w:t>
      </w:r>
      <w:r>
        <w:rPr>
          <w:rFonts w:ascii="Calibri" w:hAnsi="Calibri"/>
          <w:color w:val="282828"/>
          <w:sz w:val="22"/>
        </w:rPr>
        <w:t>Falta de traductores e intérpretes para poblaciones indígenas cuyo idioma principal es su lengua materna [cite: 2].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Desafíos Geográficos y Físicos: </w:t>
      </w:r>
      <w:r>
        <w:rPr>
          <w:rFonts w:ascii="Calibri" w:hAnsi="Calibri"/>
          <w:color w:val="282828"/>
          <w:sz w:val="22"/>
        </w:rPr>
        <w:t>Distancia de los centros de justicia en zonas rurales e infraestructura inadecuada [cite: 1, 2].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Estigmatización Social: </w:t>
      </w:r>
      <w:r>
        <w:rPr>
          <w:rFonts w:ascii="Calibri" w:hAnsi="Calibri"/>
          <w:color w:val="282828"/>
          <w:sz w:val="22"/>
        </w:rPr>
        <w:t>Prevalencia de estereotipos ageístas que invisibilizan a la vejez y la reducen al asistencialismo [cite: 1, 2].</w:t>
      </w:r>
    </w:p>
    <w:p>
      <w:pPr>
        <w:keepNext/>
        <w:spacing w:before="240" w:after="80"/>
      </w:pPr>
      <w:r>
        <w:rPr>
          <w:rFonts w:ascii="Calibri" w:hAnsi="Calibri"/>
          <w:b/>
          <w:color w:val="4A777A"/>
          <w:sz w:val="25"/>
        </w:rPr>
        <w:t>Componentes de la Legislación Nacional (Ejemplo Guatemala)</w:t>
      </w:r>
    </w:p>
    <w:p>
      <w:pPr>
        <w:spacing w:before="0" w:after="120" w:line="276" w:lineRule="auto"/>
      </w:pPr>
      <w:r>
        <w:rPr>
          <w:rFonts w:ascii="Calibri" w:hAnsi="Calibri"/>
          <w:color w:val="282828"/>
          <w:sz w:val="22"/>
        </w:rPr>
        <w:t>El marco normativo analizado (Decreto 80-96 y su Reglamento Gubernativo 135-2002) establece prerrogativas e instrumentos procesales específicos [cite: 2, 3]: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Juicio Oral de Alimentos: </w:t>
      </w:r>
      <w:r>
        <w:rPr>
          <w:rFonts w:ascii="Calibri" w:hAnsi="Calibri"/>
          <w:color w:val="282828"/>
          <w:sz w:val="22"/>
        </w:rPr>
        <w:t>Derecho a iniciar juicio oral de alimentos contra cónyuge o parientes [cite: 3].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Medidas de Protección: </w:t>
      </w:r>
      <w:r>
        <w:rPr>
          <w:rFonts w:ascii="Calibri" w:hAnsi="Calibri"/>
          <w:color w:val="282828"/>
          <w:sz w:val="22"/>
        </w:rPr>
        <w:t>Mecanismos judiciales expeditos ante malos tratos, humillaciones o agresiones, con participación de la Procuraduría de los Derechos Humanos [cite: 3].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Sanciones por Desamparo: </w:t>
      </w:r>
      <w:r>
        <w:rPr>
          <w:rFonts w:ascii="Calibri" w:hAnsi="Calibri"/>
          <w:color w:val="282828"/>
          <w:sz w:val="22"/>
        </w:rPr>
        <w:t>Declaración de abandono y responsabilidad penal para instituciones o cuidadores que nieguen auxilio, alimentos o habitación [cite: 3].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Patrocinio Institucional: </w:t>
      </w:r>
      <w:r>
        <w:rPr>
          <w:rFonts w:ascii="Calibri" w:hAnsi="Calibri"/>
          <w:color w:val="282828"/>
          <w:sz w:val="22"/>
        </w:rPr>
        <w:t>Intervención obligatoria del Comité Nacional de Protección a la Vejez (CONAPROV) para patrocinio legal [cite: 4].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>Perspectiva de Futuro:</w:t>
              <w:br/>
            </w:r>
            <w:r>
              <w:rPr>
                <w:rFonts w:ascii="Calibri" w:hAnsi="Calibri"/>
                <w:i/>
                <w:color w:val="282828"/>
                <w:sz w:val="21"/>
              </w:rPr>
              <w:t>Existe un andamiaje legal formal, pero persisten fallas de divulgación y sensibilización en los operadores de justicia. Se vuelve urgente impulsar una Convención Internacional vinculante que garantice el acceso a la justicia, el debido proceso y la asignación de presupuestos específicos en las políticas públicas [cite: 4, 5].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Democracia, Ciudadanía e Inclusión Política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2"/>
        </w:rPr>
        <w:t xml:space="preserve">Tensión Teórica: </w:t>
      </w:r>
      <w:r>
        <w:rPr>
          <w:rFonts w:ascii="Calibri" w:hAnsi="Calibri"/>
          <w:color w:val="282828"/>
          <w:sz w:val="22"/>
        </w:rPr>
        <w:t>El debate contemporáneo sobre la democracia contrapone el 'elitismo democrático' (Weber, Schumpeter), que reduce la democracia a un simple mecanismo electoral para alternar élites gobernantes [cite: 6, 7], frente al modelo de 'ciudadanía integral' (O'Donnell, Habermas), que exige articular derechos civiles, políticos y sociales [cite: 7, 10].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Democracias Minimalistas: </w:t>
      </w:r>
      <w:r>
        <w:rPr>
          <w:rFonts w:ascii="Calibri" w:hAnsi="Calibri"/>
          <w:color w:val="282828"/>
          <w:sz w:val="22"/>
        </w:rPr>
        <w:t>Reducen la política al voto, presuponiendo erróneamente que la igualdad formal en las urnas compensa la desigualdad social estructural [cite: 7, 10].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Democracias de Baja Intensidad / Delegativas: </w:t>
      </w:r>
      <w:r>
        <w:rPr>
          <w:rFonts w:ascii="Calibri" w:hAnsi="Calibri"/>
          <w:color w:val="282828"/>
          <w:sz w:val="22"/>
        </w:rPr>
        <w:t>Sistemas donde se eligen gobernantes pero existe una marcada precariedad en el ejercicio de derechos civiles y sociales básicos [cite: 9, 10].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Democratización de la Democracia: </w:t>
      </w:r>
      <w:r>
        <w:rPr>
          <w:rFonts w:ascii="Calibri" w:hAnsi="Calibri"/>
          <w:color w:val="282828"/>
          <w:sz w:val="22"/>
        </w:rPr>
        <w:t>Enfoques que integran la democracia participativa, deliberativa y la movilización de la sociedad civil desde abajo para transformar al propio Estado [cite: 10, 11].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Formación Cívica y Derechos de la Ciudadanía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2"/>
        </w:rPr>
        <w:t xml:space="preserve">Guía Educativa: </w:t>
      </w:r>
      <w:r>
        <w:rPr>
          <w:rFonts w:ascii="Calibri" w:hAnsi="Calibri"/>
          <w:color w:val="282828"/>
          <w:sz w:val="22"/>
        </w:rPr>
        <w:t>A partir de la guía formativa del proyecto 'Faro Democrático' (INE/UNAM), se abordan los conceptos fundamentales para la construcción de una ciudadanía activa [cite: 13, 14]:</w:t>
      </w:r>
    </w:p>
    <w:p>
      <w:pPr>
        <w:keepNext/>
        <w:spacing w:before="240" w:after="80"/>
      </w:pPr>
      <w:r>
        <w:rPr>
          <w:rFonts w:ascii="Calibri" w:hAnsi="Calibri"/>
          <w:b/>
          <w:color w:val="4A777A"/>
          <w:sz w:val="25"/>
        </w:rPr>
        <w:t>Evolución de la Ciudadanía y Contrato Social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Perspectiva Histórica: </w:t>
      </w:r>
      <w:r>
        <w:rPr>
          <w:rFonts w:ascii="Calibri" w:hAnsi="Calibri"/>
          <w:color w:val="282828"/>
          <w:sz w:val="22"/>
        </w:rPr>
        <w:t>De una visión elitista y excluyente en la Antigüedad (Grecia y Roma) a la noción moderna nacida de la Revolución Francesa y el contrato social (Hobbes, Locke, Rousseau) [cite: 19, 20].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Crítica Feminista: </w:t>
      </w:r>
      <w:r>
        <w:rPr>
          <w:rFonts w:ascii="Calibri" w:hAnsi="Calibri"/>
          <w:color w:val="282828"/>
          <w:sz w:val="22"/>
        </w:rPr>
        <w:t>Teóricas como Carole Pateman denuncian que el contrato social tradicional funcionó como un 'contrato sexual' que subordinó a las mujeres al ámbito doméstico y las excluyó del espacio público [cite: 22, 23].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Pluralismo y Diversidad: </w:t>
      </w:r>
      <w:r>
        <w:rPr>
          <w:rFonts w:ascii="Calibri" w:hAnsi="Calibri"/>
          <w:color w:val="282828"/>
          <w:sz w:val="22"/>
        </w:rPr>
        <w:t>Superación del modelo de 'ciudadano universal' (blanco, propietario, masculino) hacia la ciudadanía plural y multicultural (Kymlicka) y la ciudadanía cosmopolita [cite: 28, 29, 30].</w:t>
      </w:r>
    </w:p>
    <w:p>
      <w:pPr>
        <w:keepNext/>
        <w:spacing w:before="240" w:after="80"/>
      </w:pPr>
      <w:r>
        <w:rPr>
          <w:rFonts w:ascii="Calibri" w:hAnsi="Calibri"/>
          <w:b/>
          <w:color w:val="4A777A"/>
          <w:sz w:val="25"/>
        </w:rPr>
        <w:t>Proceso de Socialización Política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Socialización Primaria: </w:t>
      </w:r>
      <w:r>
        <w:rPr>
          <w:rFonts w:ascii="Calibri" w:hAnsi="Calibri"/>
          <w:color w:val="282828"/>
          <w:sz w:val="22"/>
        </w:rPr>
        <w:t>Interiorización primaria en la infancia a través de la familia y grupos de pares (noción de autoridad, colectiva) [cite: 31, 32, 33].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Socialización Secundaria: </w:t>
      </w:r>
      <w:r>
        <w:rPr>
          <w:rFonts w:ascii="Calibri" w:hAnsi="Calibri"/>
          <w:color w:val="282828"/>
          <w:sz w:val="22"/>
        </w:rPr>
        <w:t>Reconfiguración en la vida adulta mediante la escuela, medios de comunicación, partidos políticos y redes sociales [cite: 33, 34].</w:t>
      </w:r>
    </w:p>
    <w:p>
      <w:pPr>
        <w:keepNext/>
        <w:spacing w:before="240" w:after="80"/>
      </w:pPr>
      <w:r>
        <w:rPr>
          <w:rFonts w:ascii="Calibri" w:hAnsi="Calibri"/>
          <w:b/>
          <w:color w:val="4A777A"/>
          <w:sz w:val="25"/>
        </w:rPr>
        <w:t>Tipología y Evolución de los Derechos Humanos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Derechos Civiles y Políticos: </w:t>
      </w:r>
      <w:r>
        <w:rPr>
          <w:rFonts w:ascii="Calibri" w:hAnsi="Calibri"/>
          <w:color w:val="282828"/>
          <w:sz w:val="22"/>
        </w:rPr>
        <w:t>Pacto Internacional de Derechos Civiles y Políticos (1966) – Libertad de expresión, debido proceso, sufragio [cite: 36, 37].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Derechos Económicos y Sociales: </w:t>
      </w:r>
      <w:r>
        <w:rPr>
          <w:rFonts w:ascii="Calibri" w:hAnsi="Calibri"/>
          <w:color w:val="282828"/>
          <w:sz w:val="22"/>
        </w:rPr>
        <w:t>Pacto Internacional de Derechos Económicos, Sociales y Culturales (DESC / DESCA) – Trabajo, salud, educación y medio ambiente sano [cite: 39, 40, 41].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Nuevos Derechos: </w:t>
      </w:r>
      <w:r>
        <w:rPr>
          <w:rFonts w:ascii="Calibri" w:hAnsi="Calibri"/>
          <w:color w:val="282828"/>
          <w:sz w:val="22"/>
        </w:rPr>
        <w:t>Derechos humanos digitales (privacidad, identidad digital, acceso a red) y bioéticos (protección del genoma humano) [cite: 42, 43].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Formas de Participación y Tecnología Cívica</w:t>
      </w:r>
    </w:p>
    <w:p>
      <w:pPr>
        <w:keepNext/>
        <w:spacing w:before="240" w:after="80"/>
      </w:pPr>
      <w:r>
        <w:rPr>
          <w:rFonts w:ascii="Calibri" w:hAnsi="Calibri"/>
          <w:b/>
          <w:color w:val="4A777A"/>
          <w:sz w:val="25"/>
        </w:rPr>
        <w:t>Mecanismos Convencionales vs. No Convencionales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Participación Convencional: </w:t>
      </w:r>
      <w:r>
        <w:rPr>
          <w:rFonts w:ascii="Calibri" w:hAnsi="Calibri"/>
          <w:color w:val="282828"/>
          <w:sz w:val="22"/>
        </w:rPr>
        <w:t>Actividades encauzadas por las instituciones y el sistema (votar, seguir campañas, firmar peticiones, afiliarse a partidos) [cite: 53, 54].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Participación No Convencional: </w:t>
      </w:r>
      <w:r>
        <w:rPr>
          <w:rFonts w:ascii="Calibri" w:hAnsi="Calibri"/>
          <w:color w:val="282828"/>
          <w:sz w:val="22"/>
        </w:rPr>
        <w:t>Acciones espontáneas o extralegales (protestas, boicots, huelgas, intervenciones del espacio público) motivadas por el sentimiento de 'deprivación relativa' o descontento [cite: 57, 59].</w:t>
      </w:r>
    </w:p>
    <w:p>
      <w:pPr>
        <w:keepNext/>
        <w:spacing w:before="240" w:after="80"/>
      </w:pPr>
      <w:r>
        <w:rPr>
          <w:rFonts w:ascii="Calibri" w:hAnsi="Calibri"/>
          <w:b/>
          <w:color w:val="4A777A"/>
          <w:sz w:val="25"/>
        </w:rPr>
        <w:t>Factores Determinantes de la Participación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Estructura Social: </w:t>
      </w:r>
      <w:r>
        <w:rPr>
          <w:rFonts w:ascii="Calibri" w:hAnsi="Calibri"/>
          <w:color w:val="282828"/>
          <w:sz w:val="22"/>
        </w:rPr>
        <w:t>El estatus socioeconómico (SES), nivel educativo, edad y género influyen directamente en los recursos y habilidades de participación [cite: 60, 61].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Paridad de Género: </w:t>
      </w:r>
      <w:r>
        <w:rPr>
          <w:rFonts w:ascii="Calibri" w:hAnsi="Calibri"/>
          <w:color w:val="282828"/>
          <w:sz w:val="22"/>
        </w:rPr>
        <w:t>Uso de cuotas de género y principio de 'paridad en todo' para derribar techos de cristal, de billetes y de cemento que enfrentan las mujeres en la política [cite: 61, 62, 76].</w:t>
      </w:r>
    </w:p>
    <w:p>
      <w:pPr>
        <w:keepNext/>
        <w:spacing w:before="240" w:after="80"/>
      </w:pPr>
      <w:r>
        <w:rPr>
          <w:rFonts w:ascii="Calibri" w:hAnsi="Calibri"/>
          <w:b/>
          <w:color w:val="4A777A"/>
          <w:sz w:val="25"/>
        </w:rPr>
        <w:t>Tecnología Cívica</w:t>
      </w:r>
    </w:p>
    <w:p>
      <w:pPr>
        <w:spacing w:before="0" w:after="120" w:line="276" w:lineRule="auto"/>
      </w:pPr>
      <w:r>
        <w:rPr>
          <w:rFonts w:ascii="Calibri" w:hAnsi="Calibri"/>
          <w:b/>
          <w:color w:val="282828"/>
          <w:sz w:val="22"/>
        </w:rPr>
        <w:t xml:space="preserve">Innovación Digital: </w:t>
      </w:r>
      <w:r>
        <w:rPr>
          <w:rFonts w:ascii="Calibri" w:hAnsi="Calibri"/>
          <w:color w:val="282828"/>
          <w:sz w:val="22"/>
        </w:rPr>
        <w:t>Uso de plataformas web, aplicaciones y datos abiertos para promover la transparencia gubernamental, empoderar a la ciudadanía y facilitar la movilización comunitaria [cite: 69, 70]. Destacan ejemplos como 'Camino de las Villas' (mapeo urbano participativo en Buenos Aires), 'Iniciativa Funes' (detección de corrupción mediante algoritmos en Perú) y 'SeamOS' (incidencia ciudadana en Colombia) [cite: 69, 71].</w:t>
      </w:r>
    </w:p>
    <w:p>
      <w:pPr>
        <w:keepNext/>
        <w:spacing w:before="240" w:after="80"/>
      </w:pPr>
      <w:r>
        <w:rPr>
          <w:rFonts w:ascii="Calibri" w:hAnsi="Calibri"/>
          <w:b/>
          <w:color w:val="4A777A"/>
          <w:sz w:val="25"/>
        </w:rPr>
        <w:t>Tabla Resumen: Tipos de Derechos y Mecanismos de Garantía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Categoría de Derecho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Instrumentos Clave</w:t>
            </w:r>
          </w:p>
        </w:tc>
        <w:tc>
          <w:tcPr>
            <w:tcW w:type="dxa" w:w="331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Mecanismo de Exigibilidad</w:t>
            </w:r>
          </w:p>
        </w:tc>
      </w:tr>
      <w:tr>
        <w:tc>
          <w:tcPr>
            <w:tcW w:type="dxa" w:w="28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Derechos Civiles y Políticos</w:t>
            </w:r>
          </w:p>
        </w:tc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Pai. Int. Civiles y Políticos (1966) [cite: 36]</w:t>
            </w:r>
          </w:p>
        </w:tc>
        <w:tc>
          <w:tcPr>
            <w:tcW w:type="dxa" w:w="3312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Protección inmediata, debido proceso y garantías judiciales [cite: 36].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Derechos Económicos y Sociales (DESCA)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Pai. Int. DESC (1966) [cite: 40], CNDH [cite: 41]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Realización progresiva mediante políticas públicas y presupuestos [cite: 41, 44].</w:t>
            </w:r>
          </w:p>
        </w:tc>
      </w:tr>
      <w:tr>
        <w:tc>
          <w:tcPr>
            <w:tcW w:type="dxa" w:w="2880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Nuevos Derechos (Digitales / Bioética)</w:t>
            </w:r>
          </w:p>
        </w:tc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Declaración UNESCO Bioética [cite: 43], Tratados Digitales [cite: 42]</w:t>
            </w:r>
          </w:p>
        </w:tc>
        <w:tc>
          <w:tcPr>
            <w:tcW w:type="dxa" w:w="3312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Regulaciones marco, protección de datos y garantías bioéticas [cite: 43].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