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2BE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Dainne M. Prado                                                                    Tu-Th 7:00 - 8:30 PM</w:t>
      </w:r>
    </w:p>
    <w:p w14:paraId="3A7575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BSED Social Studies</w:t>
      </w:r>
    </w:p>
    <w:p w14:paraId="680BCA07"/>
    <w:p w14:paraId="409EB456">
      <w:pPr>
        <w:rPr>
          <w:rFonts w:hint="default" w:ascii="Times New Roman" w:hAnsi="Times New Roman" w:cs="Times New Roman"/>
          <w:b/>
          <w:bCs/>
          <w:sz w:val="24"/>
          <w:szCs w:val="24"/>
        </w:rPr>
      </w:pPr>
      <w:r>
        <w:rPr>
          <w:rFonts w:hint="default" w:ascii="Times New Roman" w:hAnsi="Times New Roman" w:cs="Times New Roman"/>
          <w:b/>
          <w:bCs/>
          <w:sz w:val="24"/>
          <w:szCs w:val="24"/>
        </w:rPr>
        <w:t>Activity 2: Case Analysis in Law and Society</w:t>
      </w:r>
    </w:p>
    <w:p w14:paraId="46480A33"/>
    <w:p w14:paraId="6CC4D3C9">
      <w:pPr>
        <w:rPr>
          <w:rFonts w:hint="default" w:ascii="Times New Roman" w:hAnsi="Times New Roman" w:eastAsia="SimSun" w:cs="Times New Roman"/>
          <w:i w:val="0"/>
          <w:iCs w:val="0"/>
          <w:color w:val="000000"/>
          <w:sz w:val="24"/>
          <w:szCs w:val="24"/>
          <w:u w:val="none"/>
          <w:vertAlign w:val="baseline"/>
        </w:rPr>
      </w:pPr>
    </w:p>
    <w:p w14:paraId="622FD791">
      <w:pPr>
        <w:numPr>
          <w:ilvl w:val="0"/>
          <w:numId w:val="1"/>
        </w:numPr>
        <w:bidi w:val="0"/>
        <w:rPr>
          <w:rFonts w:hint="default" w:ascii="Times New Roman" w:hAnsi="Times New Roman" w:cs="Times New Roman"/>
          <w:sz w:val="24"/>
          <w:szCs w:val="24"/>
        </w:rPr>
      </w:pPr>
      <w:r>
        <w:rPr>
          <w:rFonts w:hint="default" w:ascii="Times New Roman" w:hAnsi="Times New Roman" w:cs="Times New Roman"/>
          <w:sz w:val="24"/>
          <w:szCs w:val="24"/>
        </w:rPr>
        <w:t>What law or regulation do you think applies to this situation?</w:t>
      </w:r>
    </w:p>
    <w:p w14:paraId="1FD07DEB">
      <w:pPr>
        <w:numPr>
          <w:numId w:val="0"/>
        </w:numPr>
        <w:rPr>
          <w:rFonts w:hint="default" w:ascii="Times New Roman" w:hAnsi="Times New Roman" w:eastAsia="SimSun" w:cs="Times New Roman"/>
          <w:i w:val="0"/>
          <w:iCs w:val="0"/>
          <w:color w:val="000000"/>
          <w:sz w:val="24"/>
          <w:szCs w:val="24"/>
          <w:u w:val="none"/>
          <w:vertAlign w:val="baseline"/>
        </w:rPr>
      </w:pPr>
    </w:p>
    <w:p w14:paraId="76A56144">
      <w:pPr>
        <w:numPr>
          <w:numId w:val="0"/>
        </w:numPr>
        <w:jc w:val="both"/>
        <w:rPr>
          <w:rFonts w:hint="default" w:ascii="Times New Roman" w:hAnsi="Times New Roman" w:eastAsia="SimSun"/>
          <w:i w:val="0"/>
          <w:iCs w:val="0"/>
          <w:color w:val="000000"/>
          <w:sz w:val="24"/>
          <w:szCs w:val="24"/>
          <w:u w:val="none"/>
          <w:vertAlign w:val="baseline"/>
          <w:lang w:val="en-US"/>
        </w:rPr>
      </w:pPr>
      <w:r>
        <w:rPr>
          <w:rFonts w:hint="default" w:ascii="Times New Roman" w:hAnsi="Times New Roman" w:eastAsia="SimSun"/>
          <w:i w:val="0"/>
          <w:iCs w:val="0"/>
          <w:color w:val="000000"/>
          <w:sz w:val="24"/>
          <w:szCs w:val="24"/>
          <w:u w:val="none"/>
          <w:vertAlign w:val="baseline"/>
        </w:rPr>
        <w:t xml:space="preserve">The Local Government Code of 1991 (RA 7160) applies because it gives the </w:t>
      </w:r>
      <w:r>
        <w:rPr>
          <w:rFonts w:hint="default" w:ascii="Times New Roman" w:hAnsi="Times New Roman" w:eastAsia="SimSun"/>
          <w:i w:val="0"/>
          <w:iCs w:val="0"/>
          <w:color w:val="000000"/>
          <w:sz w:val="24"/>
          <w:szCs w:val="24"/>
          <w:u w:val="none"/>
          <w:vertAlign w:val="baseline"/>
          <w:lang w:val="en-US"/>
        </w:rPr>
        <w:t>b</w:t>
      </w:r>
      <w:r>
        <w:rPr>
          <w:rFonts w:hint="default" w:ascii="Times New Roman" w:hAnsi="Times New Roman" w:eastAsia="SimSun"/>
          <w:i w:val="0"/>
          <w:iCs w:val="0"/>
          <w:color w:val="000000"/>
          <w:sz w:val="24"/>
          <w:szCs w:val="24"/>
          <w:u w:val="none"/>
          <w:vertAlign w:val="baseline"/>
        </w:rPr>
        <w:t>arangay the power to regulate and supervise activities in their community.</w:t>
      </w:r>
      <w:r>
        <w:rPr>
          <w:rFonts w:hint="default" w:ascii="Times New Roman" w:hAnsi="Times New Roman" w:eastAsia="SimSun"/>
          <w:i w:val="0"/>
          <w:iCs w:val="0"/>
          <w:color w:val="000000"/>
          <w:sz w:val="24"/>
          <w:szCs w:val="24"/>
          <w:u w:val="none"/>
          <w:vertAlign w:val="baseline"/>
          <w:lang w:val="en-US"/>
        </w:rPr>
        <w:t xml:space="preserve"> Even if the clean-up drive is a volunteer activity, it still falls under the responsibility of the barangay because it involves public spaces and may affect other residents.</w:t>
      </w:r>
    </w:p>
    <w:p w14:paraId="5ADF3DCB">
      <w:pPr>
        <w:numPr>
          <w:numId w:val="0"/>
        </w:numPr>
        <w:jc w:val="both"/>
        <w:rPr>
          <w:rFonts w:hint="default" w:ascii="Times New Roman" w:hAnsi="Times New Roman" w:eastAsia="SimSun"/>
          <w:i w:val="0"/>
          <w:iCs w:val="0"/>
          <w:color w:val="000000"/>
          <w:sz w:val="24"/>
          <w:szCs w:val="24"/>
          <w:u w:val="none"/>
          <w:vertAlign w:val="baseline"/>
          <w:lang w:val="en-US"/>
        </w:rPr>
      </w:pPr>
    </w:p>
    <w:p w14:paraId="432934C4">
      <w:pPr>
        <w:numPr>
          <w:numId w:val="0"/>
        </w:numPr>
        <w:jc w:val="both"/>
        <w:rPr>
          <w:rFonts w:hint="default" w:ascii="Times New Roman" w:hAnsi="Times New Roman" w:eastAsia="SimSun"/>
          <w:i w:val="0"/>
          <w:iCs w:val="0"/>
          <w:color w:val="000000"/>
          <w:sz w:val="24"/>
          <w:szCs w:val="24"/>
          <w:u w:val="none"/>
          <w:vertAlign w:val="baseline"/>
          <w:lang w:val="en-US"/>
        </w:rPr>
      </w:pPr>
      <w:bookmarkStart w:id="0" w:name="_GoBack"/>
      <w:r>
        <w:rPr>
          <w:rFonts w:hint="default" w:ascii="Times New Roman" w:hAnsi="Times New Roman" w:eastAsia="SimSun"/>
          <w:i w:val="0"/>
          <w:iCs w:val="0"/>
          <w:color w:val="000000"/>
          <w:sz w:val="24"/>
          <w:szCs w:val="24"/>
          <w:u w:val="none"/>
          <w:vertAlign w:val="baseline"/>
          <w:lang w:val="en-US"/>
        </w:rPr>
        <w:t>Having a permit is not to stop students from helping but to ensure that their activities are carried out properly. With the permit, the barangay can assist them and ensure that their project is successful.</w:t>
      </w:r>
    </w:p>
    <w:p w14:paraId="68E3D976">
      <w:pPr>
        <w:numPr>
          <w:numId w:val="0"/>
        </w:numPr>
        <w:jc w:val="both"/>
        <w:rPr>
          <w:rFonts w:hint="default" w:ascii="Times New Roman" w:hAnsi="Times New Roman" w:eastAsia="SimSun"/>
          <w:i w:val="0"/>
          <w:iCs w:val="0"/>
          <w:color w:val="000000"/>
          <w:sz w:val="24"/>
          <w:szCs w:val="24"/>
          <w:u w:val="none"/>
          <w:vertAlign w:val="baseline"/>
          <w:lang w:val="en-US"/>
        </w:rPr>
      </w:pPr>
    </w:p>
    <w:bookmarkEnd w:id="0"/>
    <w:p w14:paraId="0AA38AA4">
      <w:pPr>
        <w:pStyle w:val="5"/>
        <w:keepNext w:val="0"/>
        <w:keepLines w:val="0"/>
        <w:widowControl/>
        <w:numPr>
          <w:ilvl w:val="0"/>
          <w:numId w:val="1"/>
        </w:numPr>
        <w:suppressLineNumbers w:val="0"/>
        <w:bidi w:val="0"/>
        <w:spacing w:before="240" w:beforeAutospacing="0" w:after="240" w:afterAutospacing="0" w:line="21"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What is the role of the barangay in regulating community activities like this?</w:t>
      </w:r>
    </w:p>
    <w:p w14:paraId="7A0D8A7D">
      <w:pPr>
        <w:pStyle w:val="5"/>
        <w:keepNext w:val="0"/>
        <w:keepLines w:val="0"/>
        <w:widowControl/>
        <w:numPr>
          <w:numId w:val="0"/>
        </w:numPr>
        <w:suppressLineNumbers w:val="0"/>
        <w:bidi w:val="0"/>
        <w:spacing w:before="240" w:beforeAutospacing="0" w:after="240" w:afterAutospacing="0" w:line="21" w:lineRule="atLeast"/>
        <w:ind w:leftChars="0" w:right="0" w:rightChars="0"/>
        <w:jc w:val="both"/>
        <w:rPr>
          <w:rFonts w:hint="default"/>
          <w:lang w:val="en-US"/>
        </w:rPr>
      </w:pPr>
      <w:r>
        <w:rPr>
          <w:rFonts w:hint="default"/>
          <w:lang w:val="en-US"/>
        </w:rPr>
        <w:t xml:space="preserve"> The barangay has the role of keeping peace, order, and safety in the community. When people organize an activity like a clean-up drive, the barangay makes sure that it will not cause problems, accidents, or conflicts. By requiring permits, they can check if the activity is safe and well-planned.</w:t>
      </w:r>
    </w:p>
    <w:p w14:paraId="2F3E186C">
      <w:pPr>
        <w:pStyle w:val="5"/>
        <w:keepNext w:val="0"/>
        <w:keepLines w:val="0"/>
        <w:widowControl/>
        <w:numPr>
          <w:numId w:val="0"/>
        </w:numPr>
        <w:suppressLineNumbers w:val="0"/>
        <w:bidi w:val="0"/>
        <w:spacing w:before="240" w:beforeAutospacing="0" w:after="240" w:afterAutospacing="0" w:line="21" w:lineRule="atLeast"/>
        <w:ind w:leftChars="0" w:right="0" w:rightChars="0"/>
        <w:jc w:val="both"/>
        <w:rPr>
          <w:rFonts w:hint="default"/>
          <w:sz w:val="24"/>
          <w:szCs w:val="24"/>
          <w:lang w:val="en-US"/>
        </w:rPr>
      </w:pPr>
      <w:r>
        <w:rPr>
          <w:rFonts w:hint="default"/>
          <w:sz w:val="24"/>
          <w:szCs w:val="24"/>
          <w:lang w:val="en-US"/>
        </w:rPr>
        <w:t>The barangay is also there to support the activity. They can provide assistance such as cleaning equipment, garbage collection, or more volunteers. This shows that the barangay is not only regulating but also helping to make community projects more effective.</w:t>
      </w:r>
    </w:p>
    <w:p w14:paraId="78A88007">
      <w:pPr>
        <w:pStyle w:val="5"/>
        <w:keepNext w:val="0"/>
        <w:keepLines w:val="0"/>
        <w:widowControl/>
        <w:numPr>
          <w:ilvl w:val="0"/>
          <w:numId w:val="1"/>
        </w:numPr>
        <w:suppressLineNumbers w:val="0"/>
        <w:bidi w:val="0"/>
        <w:spacing w:before="240" w:beforeAutospacing="0" w:after="240" w:afterAutospacing="0" w:line="21" w:lineRule="atLeast"/>
        <w:ind w:left="0" w:leftChars="0" w:right="0" w:rightChars="0" w:firstLine="0" w:firstLineChars="0"/>
        <w:jc w:val="both"/>
        <w:rPr>
          <w:rFonts w:hint="default" w:ascii="Times New Roman" w:hAnsi="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What could be the possible consequences if the students proceed without a permit?</w:t>
      </w:r>
    </w:p>
    <w:p w14:paraId="55F66A93">
      <w:pPr>
        <w:pStyle w:val="5"/>
        <w:keepNext w:val="0"/>
        <w:keepLines w:val="0"/>
        <w:widowControl/>
        <w:numPr>
          <w:numId w:val="0"/>
        </w:numPr>
        <w:suppressLineNumbers w:val="0"/>
        <w:bidi w:val="0"/>
        <w:spacing w:before="240" w:beforeAutospacing="0" w:after="240" w:afterAutospacing="0" w:line="21" w:lineRule="atLeast"/>
        <w:ind w:leftChars="0" w:right="0" w:righ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If the students continue their clean-up drive without a barangay permit, their activity may be stopped by the officials. This can be frustrating and may also discourage the volunteers. In some cases, the students could face penalties for not following community rules.</w:t>
      </w:r>
    </w:p>
    <w:p w14:paraId="04B0D199">
      <w:pPr>
        <w:pStyle w:val="5"/>
        <w:keepNext w:val="0"/>
        <w:keepLines w:val="0"/>
        <w:widowControl/>
        <w:numPr>
          <w:numId w:val="0"/>
        </w:numPr>
        <w:suppressLineNumbers w:val="0"/>
        <w:bidi w:val="0"/>
        <w:spacing w:before="240" w:beforeAutospacing="0" w:after="240" w:afterAutospacing="0" w:line="21" w:lineRule="atLeast"/>
        <w:ind w:leftChars="0" w:right="0" w:rightChars="0"/>
        <w:jc w:val="both"/>
        <w:rPr>
          <w:rFonts w:hint="default"/>
        </w:rPr>
      </w:pPr>
      <w:r>
        <w:rPr>
          <w:rFonts w:hint="default"/>
        </w:rPr>
        <w:t>4. What recommendations can you give to the students so they can continue their activity while complying with the law?</w:t>
      </w:r>
    </w:p>
    <w:p w14:paraId="75284722">
      <w:pPr>
        <w:pStyle w:val="5"/>
        <w:keepNext w:val="0"/>
        <w:keepLines w:val="0"/>
        <w:widowControl/>
        <w:numPr>
          <w:numId w:val="0"/>
        </w:numPr>
        <w:suppressLineNumbers w:val="0"/>
        <w:bidi w:val="0"/>
        <w:spacing w:before="240" w:beforeAutospacing="0" w:after="240" w:afterAutospacing="0" w:line="21" w:lineRule="atLeast"/>
        <w:ind w:leftChars="0" w:right="0" w:rightChars="0"/>
        <w:jc w:val="both"/>
        <w:rPr>
          <w:rFonts w:hint="default"/>
        </w:rPr>
      </w:pPr>
      <w:r>
        <w:rPr>
          <w:rFonts w:hint="default"/>
        </w:rPr>
        <w:t>The best recommendation is for the students to ask for a barangay permit before doing their clean-up drive. This shows that they respect the rules and are willing to work together with the local officials. Once they have the permit, their activity becomes official and supported.</w:t>
      </w:r>
    </w:p>
    <w:p w14:paraId="0E24DE61">
      <w:pPr>
        <w:pStyle w:val="5"/>
        <w:keepNext w:val="0"/>
        <w:keepLines w:val="0"/>
        <w:widowControl/>
        <w:numPr>
          <w:numId w:val="0"/>
        </w:numPr>
        <w:suppressLineNumbers w:val="0"/>
        <w:bidi w:val="0"/>
        <w:spacing w:before="240" w:beforeAutospacing="0" w:after="240" w:afterAutospacing="0" w:line="21" w:lineRule="atLeast"/>
        <w:ind w:leftChars="0" w:right="0" w:rightChars="0"/>
      </w:pPr>
    </w:p>
    <w:p w14:paraId="3B4B5FC9">
      <w:pPr>
        <w:keepNext w:val="0"/>
        <w:keepLines w:val="0"/>
        <w:widowControl/>
        <w:numPr>
          <w:numId w:val="0"/>
        </w:numPr>
        <w:suppressLineNumbers w:val="0"/>
        <w:bidi w:val="0"/>
        <w:spacing w:before="0" w:beforeAutospacing="1" w:after="0" w:afterAutospacing="1"/>
        <w:ind w:left="1080" w:leftChars="0"/>
        <w:textAlignment w:val="baseline"/>
        <w:rPr>
          <w:rFonts w:hint="default" w:ascii="Arial" w:hAnsi="Arial" w:cs="Arial"/>
          <w:i w:val="0"/>
          <w:iCs w:val="0"/>
          <w:color w:val="000000"/>
          <w:sz w:val="22"/>
          <w:szCs w:val="22"/>
          <w:u w:val="none"/>
        </w:rPr>
      </w:pPr>
    </w:p>
    <w:p w14:paraId="2C17ECFF">
      <w:pPr>
        <w:numPr>
          <w:numId w:val="0"/>
        </w:numPr>
        <w:ind w:leftChars="0"/>
        <w:rPr>
          <w:rFonts w:hint="default" w:ascii="Times New Roman" w:hAnsi="Times New Roman" w:eastAsia="SimSun" w:cs="Times New Roman"/>
          <w:i w:val="0"/>
          <w:iCs w:val="0"/>
          <w:color w:val="000000"/>
          <w:sz w:val="24"/>
          <w:szCs w:val="24"/>
          <w:u w:val="none"/>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B62DE"/>
    <w:multiLevelType w:val="singleLevel"/>
    <w:tmpl w:val="80BB62D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5E6E61"/>
    <w:rsid w:val="14BC797C"/>
    <w:rsid w:val="6C5E6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2025-08-26T05:48:00Z</dcterms:created>
  <dc:creator>user</dc:creator>
  <cp:lastModifiedBy>Daniel Llyod Mantes Prado</cp:lastModifiedBy>
  <dcterms:modified xsi:type="dcterms:W3CDTF">2025-08-26T06:48:33Z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A977D77E1A5F433FA1AA56C530260F54_13</vt:lpwstr>
  </property>
</Properties>
</file>