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tbl>
      <w:tblPr>
        <w:tblW w:w="4800" w:type="pct"/>
        <w:jc w:val="center"/>
        <w:tblCellSpacing w:w="15" w:type="dxa"/>
        <w:tblCellMar>
          <w:top w:w="15" w:type="dxa"/>
          <w:left w:w="15" w:type="dxa"/>
          <w:bottom w:w="15" w:type="dxa"/>
          <w:right w:w="15" w:type="dxa"/>
        </w:tblCellMar>
        <w:tblLook w:val="04A0" w:firstRow="1" w:lastRow="0" w:firstColumn="1" w:lastColumn="0" w:noHBand="0" w:noVBand="1"/>
      </w:tblPr>
      <w:tblGrid>
        <w:gridCol w:w="8250"/>
      </w:tblGrid>
      <w:tr w:rsidR="00000000">
        <w:trPr>
          <w:tblCellSpacing w:w="15" w:type="dxa"/>
          <w:jc w:val="center"/>
        </w:trPr>
        <w:tc>
          <w:tcPr>
            <w:tcW w:w="0" w:type="auto"/>
            <w:vAlign w:val="center"/>
            <w:hideMark/>
          </w:tcPr>
          <w:p w:rsidR="00000000" w:rsidRDefault="002967CD">
            <w:pPr>
              <w:jc w:val="center"/>
              <w:rPr>
                <w:rFonts w:eastAsia="Times New Roman"/>
              </w:rPr>
            </w:pPr>
            <w:bookmarkStart w:id="0" w:name="_GoBack"/>
            <w:bookmarkEnd w:id="0"/>
            <w:r>
              <w:rPr>
                <w:rStyle w:val="Textoennegrita"/>
                <w:rFonts w:ascii="Arial" w:eastAsia="Times New Roman" w:hAnsi="Arial" w:cs="Arial"/>
                <w:sz w:val="17"/>
                <w:szCs w:val="17"/>
              </w:rPr>
              <w:t>GACETA OFICIAL DEL ESTADO PLURINACIONAL DE BOLIVIA</w:t>
            </w:r>
            <w:r>
              <w:rPr>
                <w:rStyle w:val="Textoennegrita"/>
                <w:rFonts w:ascii="Arial" w:eastAsia="Times New Roman" w:hAnsi="Arial" w:cs="Arial"/>
                <w:sz w:val="17"/>
                <w:szCs w:val="17"/>
              </w:rPr>
              <w:t xml:space="preserve"> </w:t>
            </w:r>
          </w:p>
          <w:p w:rsidR="00000000" w:rsidRDefault="002967CD">
            <w:pPr>
              <w:rPr>
                <w:rFonts w:eastAsia="Times New Roman"/>
              </w:rPr>
            </w:pPr>
            <w:r>
              <w:rPr>
                <w:rFonts w:eastAsia="Times New Roman"/>
              </w:rPr>
              <w:pict>
                <v:rect id="_x0000_i1025" style="width:0;height:1.5pt" o:hralign="center" o:hrstd="t" o:hr="t" fillcolor="#a0a0a0" stroked="f"/>
              </w:pict>
            </w:r>
          </w:p>
          <w:p w:rsidR="00000000" w:rsidRDefault="002967CD">
            <w:pPr>
              <w:rPr>
                <w:rFonts w:eastAsia="Times New Roman"/>
              </w:rPr>
            </w:pPr>
          </w:p>
          <w:p w:rsidR="00000000" w:rsidRDefault="002967CD">
            <w:pPr>
              <w:pStyle w:val="NormalWeb"/>
              <w:spacing w:after="0" w:afterAutospacing="0" w:line="200" w:lineRule="atLeast"/>
              <w:jc w:val="center"/>
              <w:divId w:val="1691681184"/>
              <w:rPr>
                <w:rFonts w:ascii="Arial" w:hAnsi="Arial" w:cs="Arial"/>
                <w:sz w:val="17"/>
                <w:szCs w:val="17"/>
              </w:rPr>
            </w:pPr>
            <w:r>
              <w:rPr>
                <w:rFonts w:ascii="Arial" w:hAnsi="Arial" w:cs="Arial"/>
                <w:b/>
                <w:bCs/>
                <w:u w:val="single"/>
              </w:rPr>
              <w:t>LEY Nº 211</w:t>
            </w:r>
          </w:p>
          <w:p w:rsidR="00000000" w:rsidRDefault="002967CD">
            <w:pPr>
              <w:pStyle w:val="NormalWeb"/>
              <w:spacing w:after="0" w:afterAutospacing="0" w:line="200" w:lineRule="atLeast"/>
              <w:jc w:val="center"/>
              <w:divId w:val="1691681184"/>
              <w:rPr>
                <w:rFonts w:ascii="Arial" w:hAnsi="Arial" w:cs="Arial"/>
                <w:sz w:val="17"/>
                <w:szCs w:val="17"/>
              </w:rPr>
            </w:pPr>
            <w:r>
              <w:rPr>
                <w:rFonts w:ascii="Arial" w:hAnsi="Arial" w:cs="Arial"/>
                <w:b/>
                <w:bCs/>
                <w:u w:val="single"/>
              </w:rPr>
              <w:t>LEY DE 23 DE DICIEMBRE DE 2011</w:t>
            </w:r>
          </w:p>
          <w:p w:rsidR="00000000" w:rsidRDefault="002967CD">
            <w:pPr>
              <w:pStyle w:val="NormalWeb"/>
              <w:spacing w:after="0" w:afterAutospacing="0" w:line="200" w:lineRule="atLeast"/>
              <w:jc w:val="center"/>
              <w:divId w:val="1691681184"/>
              <w:rPr>
                <w:rFonts w:ascii="Arial" w:hAnsi="Arial" w:cs="Arial"/>
                <w:sz w:val="17"/>
                <w:szCs w:val="17"/>
              </w:rPr>
            </w:pPr>
            <w:r>
              <w:rPr>
                <w:rFonts w:ascii="Arial" w:hAnsi="Arial" w:cs="Arial"/>
                <w:b/>
                <w:bCs/>
                <w:u w:val="single"/>
              </w:rPr>
              <w:t> </w:t>
            </w:r>
          </w:p>
          <w:p w:rsidR="00000000" w:rsidRDefault="002967CD">
            <w:pPr>
              <w:pStyle w:val="NormalWeb"/>
              <w:spacing w:after="0" w:afterAutospacing="0" w:line="200" w:lineRule="atLeast"/>
              <w:jc w:val="center"/>
              <w:divId w:val="1691681184"/>
              <w:rPr>
                <w:rFonts w:ascii="Arial" w:hAnsi="Arial" w:cs="Arial"/>
                <w:sz w:val="17"/>
                <w:szCs w:val="17"/>
              </w:rPr>
            </w:pPr>
            <w:r>
              <w:rPr>
                <w:rFonts w:ascii="Arial" w:hAnsi="Arial" w:cs="Arial"/>
                <w:b/>
                <w:bCs/>
                <w:u w:val="single"/>
              </w:rPr>
              <w:t>ÁLVARO GARCÍA LINERA</w:t>
            </w:r>
          </w:p>
          <w:p w:rsidR="00000000" w:rsidRDefault="002967CD">
            <w:pPr>
              <w:pStyle w:val="NormalWeb"/>
              <w:spacing w:after="0" w:afterAutospacing="0" w:line="200" w:lineRule="atLeast"/>
              <w:jc w:val="center"/>
              <w:divId w:val="1691681184"/>
              <w:rPr>
                <w:rFonts w:ascii="Arial" w:hAnsi="Arial" w:cs="Arial"/>
                <w:sz w:val="17"/>
                <w:szCs w:val="17"/>
              </w:rPr>
            </w:pPr>
            <w:r>
              <w:rPr>
                <w:rFonts w:ascii="Arial" w:hAnsi="Arial" w:cs="Arial"/>
                <w:b/>
                <w:bCs/>
                <w:u w:val="single"/>
              </w:rPr>
              <w:t>PRESIDENTE EN EJERCICIO DEL ESTADO PLURINACIONAL DE BOLIVIA</w:t>
            </w:r>
          </w:p>
          <w:p w:rsidR="00000000" w:rsidRDefault="002967CD">
            <w:pPr>
              <w:pStyle w:val="NormalWeb"/>
              <w:spacing w:after="0" w:afterAutospacing="0"/>
              <w:jc w:val="center"/>
              <w:divId w:val="1691681184"/>
              <w:rPr>
                <w:rFonts w:ascii="Arial" w:hAnsi="Arial" w:cs="Arial"/>
                <w:sz w:val="17"/>
                <w:szCs w:val="17"/>
              </w:rPr>
            </w:pPr>
            <w:r>
              <w:rPr>
                <w:rFonts w:ascii="Arial" w:hAnsi="Arial" w:cs="Arial"/>
                <w:b/>
                <w:bCs/>
              </w:rPr>
              <w:t> </w:t>
            </w:r>
          </w:p>
          <w:p w:rsidR="00000000" w:rsidRDefault="002967CD">
            <w:pPr>
              <w:pStyle w:val="NormalWeb"/>
              <w:spacing w:after="0" w:afterAutospacing="0"/>
              <w:jc w:val="center"/>
              <w:divId w:val="1691681184"/>
              <w:rPr>
                <w:rFonts w:ascii="Arial" w:hAnsi="Arial" w:cs="Arial"/>
                <w:sz w:val="17"/>
                <w:szCs w:val="17"/>
              </w:rPr>
            </w:pPr>
            <w:r>
              <w:rPr>
                <w:rFonts w:ascii="Arial" w:hAnsi="Arial" w:cs="Arial"/>
                <w:b/>
                <w:bCs/>
              </w:rPr>
              <w:t> </w:t>
            </w:r>
          </w:p>
          <w:p w:rsidR="00000000" w:rsidRDefault="002967CD">
            <w:pPr>
              <w:pStyle w:val="NormalWeb"/>
              <w:spacing w:after="0" w:afterAutospacing="0"/>
              <w:divId w:val="1691681184"/>
              <w:rPr>
                <w:rFonts w:ascii="Arial" w:hAnsi="Arial" w:cs="Arial"/>
                <w:sz w:val="17"/>
                <w:szCs w:val="17"/>
              </w:rPr>
            </w:pPr>
            <w:r>
              <w:rPr>
                <w:rFonts w:ascii="Arial" w:hAnsi="Arial" w:cs="Arial"/>
              </w:rPr>
              <w:t>Por cuanto, la Asamblea Legislativa Plurinacional, ha sancionado la siguiente Ley:</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jc w:val="center"/>
              <w:divId w:val="1691681184"/>
              <w:rPr>
                <w:rFonts w:ascii="Arial" w:hAnsi="Arial" w:cs="Arial"/>
                <w:sz w:val="17"/>
                <w:szCs w:val="17"/>
              </w:rPr>
            </w:pPr>
            <w:r>
              <w:rPr>
                <w:rFonts w:ascii="Arial" w:hAnsi="Arial" w:cs="Arial"/>
                <w:b/>
                <w:bCs/>
              </w:rPr>
              <w:t>LA A</w:t>
            </w:r>
            <w:r>
              <w:rPr>
                <w:rFonts w:ascii="Arial" w:hAnsi="Arial" w:cs="Arial"/>
                <w:b/>
                <w:bCs/>
              </w:rPr>
              <w:t>SAMBLEA LEGISLATIVA PLURINACIONAL,</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divId w:val="1691681184"/>
              <w:rPr>
                <w:rFonts w:ascii="Arial" w:hAnsi="Arial" w:cs="Arial"/>
                <w:sz w:val="17"/>
                <w:szCs w:val="17"/>
              </w:rPr>
            </w:pPr>
            <w:r>
              <w:rPr>
                <w:rFonts w:ascii="Arial" w:hAnsi="Arial" w:cs="Arial"/>
                <w:b/>
                <w:bCs/>
              </w:rPr>
              <w:t>D E C R E T A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jc w:val="center"/>
              <w:divId w:val="1691681184"/>
              <w:rPr>
                <w:rFonts w:ascii="Arial" w:hAnsi="Arial" w:cs="Arial"/>
                <w:sz w:val="17"/>
                <w:szCs w:val="17"/>
              </w:rPr>
            </w:pPr>
            <w:r>
              <w:rPr>
                <w:rFonts w:ascii="Arial" w:hAnsi="Arial" w:cs="Arial"/>
                <w:b/>
                <w:bCs/>
              </w:rPr>
              <w:t>LEY DEL PRESUPUESTO GENERAL DEL ESTADO – GESTIÓN 2012</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jc w:val="center"/>
              <w:divId w:val="1691681184"/>
              <w:rPr>
                <w:rFonts w:ascii="Arial" w:hAnsi="Arial" w:cs="Arial"/>
                <w:sz w:val="17"/>
                <w:szCs w:val="17"/>
              </w:rPr>
            </w:pPr>
            <w:r>
              <w:rPr>
                <w:rFonts w:ascii="Arial" w:hAnsi="Arial" w:cs="Arial"/>
                <w:b/>
                <w:bCs/>
              </w:rPr>
              <w:t>CAPÍTULO ÚNICO</w:t>
            </w:r>
          </w:p>
          <w:p w:rsidR="00000000" w:rsidRDefault="002967CD">
            <w:pPr>
              <w:pStyle w:val="NormalWeb"/>
              <w:jc w:val="center"/>
              <w:divId w:val="1691681184"/>
              <w:rPr>
                <w:rFonts w:ascii="Arial" w:hAnsi="Arial" w:cs="Arial"/>
                <w:sz w:val="17"/>
                <w:szCs w:val="17"/>
              </w:rPr>
            </w:pPr>
            <w:r>
              <w:rPr>
                <w:rFonts w:ascii="Arial" w:hAnsi="Arial" w:cs="Arial"/>
                <w:b/>
                <w:bCs/>
              </w:rPr>
              <w:t>DISPOSICIONES GENERALES</w:t>
            </w:r>
          </w:p>
          <w:p w:rsidR="00000000" w:rsidRDefault="002967CD">
            <w:pPr>
              <w:pStyle w:val="NormalWeb"/>
              <w:divId w:val="1691681184"/>
              <w:rPr>
                <w:rFonts w:ascii="Arial" w:hAnsi="Arial" w:cs="Arial"/>
                <w:sz w:val="17"/>
                <w:szCs w:val="17"/>
              </w:rPr>
            </w:pPr>
            <w:r>
              <w:rPr>
                <w:rFonts w:ascii="Arial" w:hAnsi="Arial" w:cs="Arial"/>
                <w:b/>
                <w:bCs/>
                <w:u w:val="single"/>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1. (OBJETO). </w:t>
            </w:r>
            <w:r>
              <w:rPr>
                <w:rFonts w:ascii="Arial" w:hAnsi="Arial" w:cs="Arial"/>
              </w:rPr>
              <w:t>La presente Ley tiene por objeto aprobar el Presupuesto General del Estado (PGE) del sector público para la gestión fiscal 2012, y otras disposiciones específicas para la administración de las finanzas públicas.</w:t>
            </w:r>
          </w:p>
          <w:p w:rsidR="00000000" w:rsidRDefault="002967CD">
            <w:pPr>
              <w:pStyle w:val="NormalWeb"/>
              <w:ind w:firstLine="840"/>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Artículo 2. (PRESUPUESTO AGREGADO Y CONSOL</w:t>
            </w:r>
            <w:r>
              <w:rPr>
                <w:rFonts w:ascii="Arial" w:hAnsi="Arial" w:cs="Arial"/>
                <w:b/>
                <w:bCs/>
              </w:rPr>
              <w:t xml:space="preserve">IDADO). </w:t>
            </w:r>
            <w:r>
              <w:rPr>
                <w:rFonts w:ascii="Arial" w:hAnsi="Arial" w:cs="Arial"/>
              </w:rPr>
              <w:t>Se aprueba el Presupuesto General del Estado, para su vigencia durante la Gestión Fiscal del 1 de enero al 31 de diciembre de 2012, por un importe total agregado de Bs185.888.910.616.- (Ciento Ochenta y Cinco Mil Ochocientos Ochenta y Ocho Millones</w:t>
            </w:r>
            <w:r>
              <w:rPr>
                <w:rFonts w:ascii="Arial" w:hAnsi="Arial" w:cs="Arial"/>
              </w:rPr>
              <w:t xml:space="preserve"> Novecientos Diez Mil Seiscientos Dieciséis 00/100 Bolivianos) y un consolidado de Bs145.942.902.291.- (Ciento Cuarenta y Cinco Mil Novecientos Cuarenta y Dos Millones Novecientos Dos Mil Doscientos Noventa y Un 00/100 Bolivianos), según detalle de recurso</w:t>
            </w:r>
            <w:r>
              <w:rPr>
                <w:rFonts w:ascii="Arial" w:hAnsi="Arial" w:cs="Arial"/>
              </w:rPr>
              <w:t>s y gastos consignados en los Tomos I y II, adjuntos.</w:t>
            </w:r>
          </w:p>
          <w:p w:rsidR="00000000" w:rsidRDefault="002967CD">
            <w:pPr>
              <w:pStyle w:val="NormalWeb"/>
              <w:ind w:firstLine="840"/>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3. (RESULTADO FISCAL).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 xml:space="preserve">En el marco del Artículo 298 parágrafo II numeral 23 de la Constitución Política del Estado, los Ministerios de Economía y Finanzas Públicas, y de Planificación </w:t>
            </w:r>
            <w:r>
              <w:rPr>
                <w:rFonts w:ascii="Arial" w:hAnsi="Arial" w:cs="Arial"/>
              </w:rPr>
              <w:t>del Desarrollo, aprobarán mediante Resolución Ministerial, las modificaciones presupuestarias destinadas a gasto corriente o inversión pública, respectivamente, de las Entidades Públicas que afecten negativamente el resultado fiscal global del Sector Públi</w:t>
            </w:r>
            <w:r>
              <w:rPr>
                <w:rFonts w:ascii="Arial" w:hAnsi="Arial" w:cs="Arial"/>
              </w:rPr>
              <w:t xml:space="preserve">co; exceptuándose los saldos no ejecutados de donación externa.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Se excluye de la aplicación del parágrafo precedente, a los Gobiernos Autónomos Municipales y Universidades Públicas, en aquellos traspasos presupuestarios intrainstitucionales que afe</w:t>
            </w:r>
            <w:r>
              <w:rPr>
                <w:rFonts w:ascii="Arial" w:hAnsi="Arial" w:cs="Arial"/>
              </w:rPr>
              <w:t xml:space="preserve">cten negativamente el resultado fiscal. </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4. (SISTEMAS DE GESTIÓN FISCAL PARA LAS ENTIDADES DEL SECTOR PÚBLICO Y VALIDEZ JURÍDICA).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Son sistemas oficiales de la Gestión Fiscal del Estado Plurinacional, el Sistema Integrado de Gestión y M</w:t>
            </w:r>
            <w:r>
              <w:rPr>
                <w:rFonts w:ascii="Arial" w:hAnsi="Arial" w:cs="Arial"/>
              </w:rPr>
              <w:t>odernización Administrativa (SIGMA) y el Sistema de Gestión Pública sobre plataforma Web, los mismos que son de uso obligatorio en todas las entidades del sector público, según corresponda.</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A efectos jurídicos de determinació</w:t>
            </w:r>
            <w:r>
              <w:rPr>
                <w:rFonts w:ascii="Arial" w:hAnsi="Arial" w:cs="Arial"/>
              </w:rPr>
              <w:t xml:space="preserve">n de responsabilidades, la información generada por el Sistema Integrado de Gestión y Modernización Administrativa (SIGMA) y/o por el Sistema de Gestión Pública sobre plataforma Web, tendrán validez jurídica y fuerza probatoria al igual que los documentos </w:t>
            </w:r>
            <w:r>
              <w:rPr>
                <w:rFonts w:ascii="Arial" w:hAnsi="Arial" w:cs="Arial"/>
              </w:rPr>
              <w:t>escritos.</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III.</w:t>
            </w:r>
            <w:r>
              <w:rPr>
                <w:rFonts w:ascii="Arial" w:hAnsi="Arial" w:cs="Arial"/>
              </w:rPr>
              <w:t xml:space="preserve"> </w:t>
            </w:r>
            <w:r>
              <w:rPr>
                <w:rFonts w:ascii="Arial" w:hAnsi="Arial" w:cs="Arial"/>
              </w:rPr>
              <w:tab/>
              <w:t>El Ministerio de Economía y Finanzas Públicas podrá autorizar el uso temporal de otros sistemas, a las entidades del sector público que no tengan acceso a los sistemas oficiales, previa presentación del cronograma de implementación de los</w:t>
            </w:r>
            <w:r>
              <w:rPr>
                <w:rFonts w:ascii="Arial" w:hAnsi="Arial" w:cs="Arial"/>
              </w:rPr>
              <w:t xml:space="preserve"> mismos.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5. (SISTEMA DE INFORMACIÓN SOBRE INVERSIONES). </w:t>
            </w:r>
            <w:r>
              <w:rPr>
                <w:rFonts w:ascii="Arial" w:hAnsi="Arial" w:cs="Arial"/>
              </w:rPr>
              <w:t>El Sistema de Información Sobre Inversiones (SISIN-WEB) del Ministerio de Planificación del Desarrollo, es el sistema de la Gestión de Inversió</w:t>
            </w:r>
            <w:r>
              <w:rPr>
                <w:rFonts w:ascii="Arial" w:hAnsi="Arial" w:cs="Arial"/>
              </w:rPr>
              <w:t>n del Estado Plurinacional, y de uso obligatorio para las entidades del Sector Público que ejecutan proyectos de inversión.</w:t>
            </w:r>
          </w:p>
          <w:p w:rsidR="00000000" w:rsidRDefault="002967CD">
            <w:pPr>
              <w:pStyle w:val="NormalWeb"/>
              <w:ind w:firstLine="840"/>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6. (TRANSFERENCIAS PÚBLICO-PRIVADAS). </w:t>
            </w:r>
          </w:p>
          <w:p w:rsidR="00000000" w:rsidRDefault="002967CD">
            <w:pPr>
              <w:pStyle w:val="NormalWeb"/>
              <w:ind w:firstLine="840"/>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Se autoriza al Órgano Ejecutivo transferir recursos públicos en efectivo y/o</w:t>
            </w:r>
            <w:r>
              <w:rPr>
                <w:rFonts w:ascii="Arial" w:hAnsi="Arial" w:cs="Arial"/>
              </w:rPr>
              <w:t xml:space="preserve"> en especie e inversiones productivas a organizaciones económico – productivas, a organizaciones territoriales, a organizaciones privadas sin fines de lucro nacional, a organizaciones indígena originaria campesinas y a personas naturales, con el objetivo d</w:t>
            </w:r>
            <w:r>
              <w:rPr>
                <w:rFonts w:ascii="Arial" w:hAnsi="Arial" w:cs="Arial"/>
              </w:rPr>
              <w:t xml:space="preserve">e estimular la actividad de desarrollo, seguridad alimentaria, reconversión productiva, educación, salud y vivienda, en el marco del Plan Nacional de Desarrollo y Planes Sectoriales. De todas las transferencias señaladas precedentemente, el importe, uso y </w:t>
            </w:r>
            <w:r>
              <w:rPr>
                <w:rFonts w:ascii="Arial" w:hAnsi="Arial" w:cs="Arial"/>
              </w:rPr>
              <w:t>destino de estos recursos será autorizado mediante Decreto Supremo y deberá contar con reglamentación específica.</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Las entidades públicas que transfieran recursos públicos en efectivo y/o en especie a organizaciones económico – productivas, a organiz</w:t>
            </w:r>
            <w:r>
              <w:rPr>
                <w:rFonts w:ascii="Arial" w:hAnsi="Arial" w:cs="Arial"/>
              </w:rPr>
              <w:t>aciones territoriales y a personas naturales, deberán aperturar en sus presupuestos institucionales, programas y actividades que permitan identificar el sector económico, localización geográfica, organización beneficiaria, personería jurídica y monto a tra</w:t>
            </w:r>
            <w:r>
              <w:rPr>
                <w:rFonts w:ascii="Arial" w:hAnsi="Arial" w:cs="Arial"/>
              </w:rPr>
              <w:t>nsferir; mismo que deberá ser autorizado mediante Decreto Supremo.</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III.</w:t>
            </w:r>
            <w:r>
              <w:rPr>
                <w:rFonts w:ascii="Arial" w:hAnsi="Arial" w:cs="Arial"/>
              </w:rPr>
              <w:t xml:space="preserve"> </w:t>
            </w:r>
            <w:r>
              <w:rPr>
                <w:rFonts w:ascii="Arial" w:hAnsi="Arial" w:cs="Arial"/>
              </w:rPr>
              <w:tab/>
              <w:t>El Fondo de Desarrollo para Pueblos Indígenas, Originarios y Comunidades Campesinas “FDPPIOYCC”, podrá transferir recursos públicos a los Pueblos y Comunidades Indígenas, Originario</w:t>
            </w:r>
            <w:r>
              <w:rPr>
                <w:rFonts w:ascii="Arial" w:hAnsi="Arial" w:cs="Arial"/>
              </w:rPr>
              <w:t>s y Campesinas, debiendo aperturar en su presupuesto institucional programas y actividades que permitan identificar el sector económico, localización geográfica, organización beneficiaria y monto a transferir. La transferencia deberá ser autorizada mediant</w:t>
            </w:r>
            <w:r>
              <w:rPr>
                <w:rFonts w:ascii="Arial" w:hAnsi="Arial" w:cs="Arial"/>
              </w:rPr>
              <w:t>e Resolución expresa del Ministerio Cabeza de Sector.</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IV.</w:t>
            </w:r>
            <w:r>
              <w:rPr>
                <w:rFonts w:ascii="Arial" w:hAnsi="Arial" w:cs="Arial"/>
              </w:rPr>
              <w:t xml:space="preserve"> </w:t>
            </w:r>
            <w:r>
              <w:rPr>
                <w:rFonts w:ascii="Arial" w:hAnsi="Arial" w:cs="Arial"/>
              </w:rPr>
              <w:tab/>
              <w:t>Las organizaciones económico – productivas, organizaciones territoriales, pueblos y comunidades indígenas, originarios y campesinas, en su calidad de beneficiarias finales, deben informar a la en</w:t>
            </w:r>
            <w:r>
              <w:rPr>
                <w:rFonts w:ascii="Arial" w:hAnsi="Arial" w:cs="Arial"/>
              </w:rPr>
              <w:t>tidad otorgante sobre el uso y destino de los recursos públicos, y a su vez la entidad otorgante debe registrar la ejecución de los recursos en los sistemas de información correspondientes, del Ministerio de Economía y Finanzas Públicas (MEFP), así como de</w:t>
            </w:r>
            <w:r>
              <w:rPr>
                <w:rFonts w:ascii="Arial" w:hAnsi="Arial" w:cs="Arial"/>
              </w:rPr>
              <w:t>l Ministerio de Planificación del Desarrollo (MPD).</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V.</w:t>
            </w:r>
            <w:r>
              <w:rPr>
                <w:rFonts w:ascii="Arial" w:hAnsi="Arial" w:cs="Arial"/>
              </w:rPr>
              <w:t xml:space="preserve"> </w:t>
            </w:r>
            <w:r>
              <w:rPr>
                <w:rFonts w:ascii="Arial" w:hAnsi="Arial" w:cs="Arial"/>
              </w:rPr>
              <w:tab/>
              <w:t>Se autoriza al Ministerio de Obras Públicas, Servicios y Vivienda, realizar transferencias de recursos públicos, a los beneficiarios referidos en el Parágrafo I del presente Artículo, para el pago d</w:t>
            </w:r>
            <w:r>
              <w:rPr>
                <w:rFonts w:ascii="Arial" w:hAnsi="Arial" w:cs="Arial"/>
              </w:rPr>
              <w:t>e mano de obra por construcción de viviendas sociales, la adquisición de terrenos, para la construcción de viviendas sociales en terrenos estatales, comunales o privados y para el mejoramiento de viviendas sociales ya sea de forma directa o para el pago de</w:t>
            </w:r>
            <w:r>
              <w:rPr>
                <w:rFonts w:ascii="Arial" w:hAnsi="Arial" w:cs="Arial"/>
              </w:rPr>
              <w:t xml:space="preserve"> mano de obra, para lo cual deberá contar con reglamentación específica.</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VI.</w:t>
            </w:r>
            <w:r>
              <w:rPr>
                <w:rFonts w:ascii="Arial" w:hAnsi="Arial" w:cs="Arial"/>
              </w:rPr>
              <w:t xml:space="preserve"> </w:t>
            </w:r>
            <w:r>
              <w:rPr>
                <w:rFonts w:ascii="Arial" w:hAnsi="Arial" w:cs="Arial"/>
              </w:rPr>
              <w:tab/>
              <w:t>Se autoriza al Ministerio de Salud y Deportes, realizar transferencias de recursos públicos a los beneficiarios por concepto de pago del “Bono Juana Azurduy”.</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Artículo 7. (FI</w:t>
            </w:r>
            <w:r>
              <w:rPr>
                <w:rFonts w:ascii="Arial" w:hAnsi="Arial" w:cs="Arial"/>
                <w:b/>
                <w:bCs/>
              </w:rPr>
              <w:t xml:space="preserve">DEICOMISOS).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Con el objeto de asistir y apoyar la reconstrucción del sector productivo nacional, atender situaciones de encarecimiento de precios, desabastecimiento, inseguridad alimentaria, nuevos emprendimientos productivos, fomento a la producció</w:t>
            </w:r>
            <w:r>
              <w:rPr>
                <w:rFonts w:ascii="Arial" w:hAnsi="Arial" w:cs="Arial"/>
              </w:rPr>
              <w:t>n y a las exportaciones, a través del desarrollo de programas y proyectos productivos públicos y privados; se autoriza al Órgano Ejecutivo, constituir fideicomisos con instituciones financieras autorizadas, los cuales deben ser aprobados mediante Decreto S</w:t>
            </w:r>
            <w:r>
              <w:rPr>
                <w:rFonts w:ascii="Arial" w:hAnsi="Arial" w:cs="Arial"/>
              </w:rPr>
              <w:t>upremo.</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Son responsables por los recursos públicos constituidos en fideicomiso, la entidad fideicomitente y la entidad encargada de la política sectorial, debiendo esta última efectuar seguimiento y control sistemático al cumplimiento de la finalida</w:t>
            </w:r>
            <w:r>
              <w:rPr>
                <w:rFonts w:ascii="Arial" w:hAnsi="Arial" w:cs="Arial"/>
              </w:rPr>
              <w:t>d prevista en el acto constitutivo y en las disposiciones legales que lo fundamentaron, así como emitir directrices y lineamientos respecto a los fideicomisos constituidos por entidades bajo su dependencia o tuición y sobre aquellos cuyo objeto o finalidad</w:t>
            </w:r>
            <w:r>
              <w:rPr>
                <w:rFonts w:ascii="Arial" w:hAnsi="Arial" w:cs="Arial"/>
              </w:rPr>
              <w:t xml:space="preserve"> se encuentren en el marco de sus competencias.</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III. </w:t>
            </w:r>
            <w:r>
              <w:rPr>
                <w:rFonts w:ascii="Arial" w:hAnsi="Arial" w:cs="Arial"/>
                <w:b/>
                <w:bCs/>
              </w:rPr>
              <w:tab/>
            </w:r>
            <w:r>
              <w:rPr>
                <w:rFonts w:ascii="Arial" w:hAnsi="Arial" w:cs="Arial"/>
              </w:rPr>
              <w:t>Con fines de registro, el fideicomitente deberá reportar la constitución y semestralmente el saldo del patrimonio fideicomitido al Ministerio de Economía y Finanzas Públicas.</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IV. </w:t>
            </w:r>
            <w:r>
              <w:rPr>
                <w:rFonts w:ascii="Arial" w:hAnsi="Arial" w:cs="Arial"/>
                <w:b/>
                <w:bCs/>
              </w:rPr>
              <w:tab/>
            </w:r>
            <w:r>
              <w:rPr>
                <w:rFonts w:ascii="Arial" w:hAnsi="Arial" w:cs="Arial"/>
              </w:rPr>
              <w:t xml:space="preserve">Las entidades que </w:t>
            </w:r>
            <w:r>
              <w:rPr>
                <w:rFonts w:ascii="Arial" w:hAnsi="Arial" w:cs="Arial"/>
              </w:rPr>
              <w:t>ejerzan tuición sobre instituciones del sector público financiero y de sociedades de economía mixta autorizadas para la administración de fideicomisos constituidos con recursos del Estado, deberán efectuar seguimiento y control sistemático sobre los fideic</w:t>
            </w:r>
            <w:r>
              <w:rPr>
                <w:rFonts w:ascii="Arial" w:hAnsi="Arial" w:cs="Arial"/>
              </w:rPr>
              <w:t>omisos suscritos por éstas, con el objeto de vigilar su desarrollo, verificar el cumplimiento de las disposiciones legales que los sustentan y precautelar el adecuado manejo de los fondos fideicomitidos, en el marco de la finalidad establecida en el acto c</w:t>
            </w:r>
            <w:r>
              <w:rPr>
                <w:rFonts w:ascii="Arial" w:hAnsi="Arial" w:cs="Arial"/>
              </w:rPr>
              <w:t>onstitutivo.</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8. (FINANCIAMIENTO DEL BONO JUANA AZURDUY).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I.</w:t>
            </w:r>
            <w:r>
              <w:rPr>
                <w:rFonts w:ascii="Arial" w:hAnsi="Arial" w:cs="Arial"/>
              </w:rPr>
              <w:t xml:space="preserve"> </w:t>
            </w:r>
            <w:r>
              <w:rPr>
                <w:rFonts w:ascii="Arial" w:hAnsi="Arial" w:cs="Arial"/>
              </w:rPr>
              <w:tab/>
              <w:t>Se autoriza al Banco Central de Bolivia transferir mensualmente al Tesoro General de la Nació</w:t>
            </w:r>
            <w:r>
              <w:rPr>
                <w:rFonts w:ascii="Arial" w:hAnsi="Arial" w:cs="Arial"/>
              </w:rPr>
              <w:t>n, parte de los recursos provenientes del rendimiento de las Reservas Internacionales Netas, para el Bono Juana Azurduy.</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El Banco Central de Bolivia, una vez efectuado el requerimiento del Tesoro General de la Nación, transferirá de manera prioritar</w:t>
            </w:r>
            <w:r>
              <w:rPr>
                <w:rFonts w:ascii="Arial" w:hAnsi="Arial" w:cs="Arial"/>
              </w:rPr>
              <w:t>ia los recursos solicitados para el efecto.</w:t>
            </w:r>
          </w:p>
          <w:p w:rsidR="00000000" w:rsidRDefault="002967CD">
            <w:pPr>
              <w:pStyle w:val="NormalWeb"/>
              <w:ind w:left="840" w:hanging="840"/>
              <w:divId w:val="1691681184"/>
              <w:rPr>
                <w:rFonts w:ascii="Arial" w:hAnsi="Arial" w:cs="Arial"/>
                <w:sz w:val="17"/>
                <w:szCs w:val="17"/>
              </w:rPr>
            </w:pPr>
            <w:r>
              <w:rPr>
                <w:rFonts w:ascii="Arial" w:hAnsi="Arial" w:cs="Arial"/>
              </w:rPr>
              <w:tab/>
            </w:r>
          </w:p>
          <w:p w:rsidR="00000000" w:rsidRDefault="002967CD">
            <w:pPr>
              <w:pStyle w:val="NormalWeb"/>
              <w:ind w:left="840" w:hanging="840"/>
              <w:divId w:val="1691681184"/>
              <w:rPr>
                <w:rFonts w:ascii="Arial" w:hAnsi="Arial" w:cs="Arial"/>
                <w:sz w:val="17"/>
                <w:szCs w:val="17"/>
              </w:rPr>
            </w:pPr>
            <w:r>
              <w:rPr>
                <w:rFonts w:ascii="Arial" w:hAnsi="Arial" w:cs="Arial"/>
                <w:b/>
                <w:bCs/>
              </w:rPr>
              <w:t>III.</w:t>
            </w:r>
            <w:r>
              <w:rPr>
                <w:rFonts w:ascii="Arial" w:hAnsi="Arial" w:cs="Arial"/>
              </w:rPr>
              <w:t xml:space="preserve"> </w:t>
            </w:r>
            <w:r>
              <w:rPr>
                <w:rFonts w:ascii="Arial" w:hAnsi="Arial" w:cs="Arial"/>
              </w:rPr>
              <w:tab/>
              <w:t xml:space="preserve">Para el cumplimiento de la obligación establecida en los parágrafos precedentes, se exceptúa al Banco Central de Bolivia de la aplicación del Artículo 75 de la Ley Nº 1670 del 31 de octubre de 1995.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9. (MANEJO DE RECURSOS DEL TGN EN EL EXTERIOR). </w:t>
            </w:r>
            <w:r>
              <w:rPr>
                <w:rFonts w:ascii="Arial" w:hAnsi="Arial" w:cs="Arial"/>
              </w:rPr>
              <w:t>Se autoriza al Ministerio de Economía y Finanzas Públicas (MEFP), realizar inversiones de recursos del Tesoro General de la Nación (TGN) en el exterior con el fin de generar ingresos que beneficien a</w:t>
            </w:r>
            <w:r>
              <w:rPr>
                <w:rFonts w:ascii="Arial" w:hAnsi="Arial" w:cs="Arial"/>
              </w:rPr>
              <w:t xml:space="preserve"> la gestión de la Tesorería a través del Banco Central de Bolivia (BCB) u otra Entidad Financiera que el Ministerio de Economía y Finanzas Públicas (MEFP) determine, de acuerdo a las condiciones definidas entre el Viceministerio del Tesoro y Crédito Públic</w:t>
            </w:r>
            <w:r>
              <w:rPr>
                <w:rFonts w:ascii="Arial" w:hAnsi="Arial" w:cs="Arial"/>
              </w:rPr>
              <w:t>o con el Banco Central de Bolivia (BCB), o la Entidad Financiera establecida para el efecto.</w:t>
            </w:r>
          </w:p>
          <w:p w:rsidR="00000000" w:rsidRDefault="002967CD">
            <w:pPr>
              <w:pStyle w:val="NormalWeb"/>
              <w:ind w:firstLine="840"/>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Artículo 10</w:t>
            </w:r>
            <w:r>
              <w:rPr>
                <w:rFonts w:ascii="Arial" w:hAnsi="Arial" w:cs="Arial"/>
              </w:rPr>
              <w:t>. (</w:t>
            </w:r>
            <w:r>
              <w:rPr>
                <w:rFonts w:ascii="Arial" w:hAnsi="Arial" w:cs="Arial"/>
                <w:b/>
                <w:bCs/>
              </w:rPr>
              <w:t xml:space="preserve">ENDEUDAMIENTO PÚBLICO MEDIANTE EMISIÓN DE TÍTULOS VALOR EN MERCADOS DE CAPITAL EXTERNOS). </w:t>
            </w:r>
          </w:p>
          <w:p w:rsidR="00000000" w:rsidRDefault="002967CD">
            <w:pPr>
              <w:pStyle w:val="NormalWeb"/>
              <w:ind w:firstLine="840"/>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I</w:t>
            </w:r>
            <w:r>
              <w:rPr>
                <w:rFonts w:ascii="Arial" w:hAnsi="Arial" w:cs="Arial"/>
              </w:rPr>
              <w:t xml:space="preserve">. </w:t>
            </w:r>
            <w:r>
              <w:rPr>
                <w:rFonts w:ascii="Arial" w:hAnsi="Arial" w:cs="Arial"/>
              </w:rPr>
              <w:tab/>
              <w:t>Se autoriza al Ministerio de Economía y Finanzas P</w:t>
            </w:r>
            <w:r>
              <w:rPr>
                <w:rFonts w:ascii="Arial" w:hAnsi="Arial" w:cs="Arial"/>
              </w:rPr>
              <w:t>úblicas (MEFP), en el marco de lo establecido en los numerales 8 y 10 del Parágrafo I del Artículo 158 y el Artículo 322 de la Constitución Política del Estado, en representación del Estado Plurinacional de Bolivia, celebrar operaciones de deuda pública en</w:t>
            </w:r>
            <w:r>
              <w:rPr>
                <w:rFonts w:ascii="Arial" w:hAnsi="Arial" w:cs="Arial"/>
              </w:rPr>
              <w:t xml:space="preserve"> los mercados de capital externos por un monto de hasta USD500.000.000.- (Quinientos Millones 00/100 Dólares Estadounidenses) o su equivalente en otras monedas, para apoyo presupuestario. </w:t>
            </w:r>
          </w:p>
          <w:p w:rsidR="00000000" w:rsidRDefault="002967CD">
            <w:pPr>
              <w:pStyle w:val="NormalWeb"/>
              <w:ind w:left="840" w:hanging="840"/>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Se autoriza al Ministerio de Economía y Finanzas Públicas la</w:t>
            </w:r>
            <w:r>
              <w:rPr>
                <w:rFonts w:ascii="Arial" w:hAnsi="Arial" w:cs="Arial"/>
              </w:rPr>
              <w:t xml:space="preserve"> contratación directa en el ámbito nacional y/o internacional de servicios de asesoría legal y financiera, y de otros servicios especializados, vinculados a la operación de deuda pública en los mercados de capital externos, señalada en el parágrafo anterio</w:t>
            </w:r>
            <w:r>
              <w:rPr>
                <w:rFonts w:ascii="Arial" w:hAnsi="Arial" w:cs="Arial"/>
              </w:rPr>
              <w:t xml:space="preserve">r. </w:t>
            </w:r>
          </w:p>
          <w:p w:rsidR="00000000" w:rsidRDefault="002967CD">
            <w:pPr>
              <w:pStyle w:val="NormalWeb"/>
              <w:ind w:left="840" w:hanging="840"/>
              <w:divId w:val="1691681184"/>
              <w:rPr>
                <w:rFonts w:ascii="Arial" w:hAnsi="Arial" w:cs="Arial"/>
                <w:sz w:val="17"/>
                <w:szCs w:val="17"/>
              </w:rPr>
            </w:pPr>
            <w:r>
              <w:rPr>
                <w:rFonts w:ascii="Arial" w:hAnsi="Arial" w:cs="Arial"/>
                <w:b/>
                <w:bCs/>
              </w:rPr>
              <w:t> </w:t>
            </w:r>
          </w:p>
          <w:p w:rsidR="00000000" w:rsidRDefault="002967CD">
            <w:pPr>
              <w:divId w:val="1691681184"/>
              <w:rPr>
                <w:rFonts w:ascii="Arial" w:eastAsia="Times New Roman" w:hAnsi="Arial" w:cs="Arial"/>
                <w:sz w:val="17"/>
                <w:szCs w:val="17"/>
              </w:rPr>
            </w:pPr>
            <w:r>
              <w:rPr>
                <w:rFonts w:ascii="Arial" w:eastAsia="Times New Roman" w:hAnsi="Arial" w:cs="Arial"/>
                <w:sz w:val="17"/>
                <w:szCs w:val="17"/>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III. </w:t>
            </w:r>
            <w:r>
              <w:rPr>
                <w:rFonts w:ascii="Arial" w:hAnsi="Arial" w:cs="Arial"/>
                <w:b/>
                <w:bCs/>
              </w:rPr>
              <w:tab/>
            </w:r>
            <w:r>
              <w:rPr>
                <w:rFonts w:ascii="Arial" w:hAnsi="Arial" w:cs="Arial"/>
              </w:rPr>
              <w:t>El procedimiento para la contratación establecida en el parágrafo anterior, será aprobado mediante Resolución Ministerial expresa del Ministerio de Economía y Finanzas Públicas.</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11. (DOBLE PERCEPCIÓN).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Las entidades del sect</w:t>
            </w:r>
            <w:r>
              <w:rPr>
                <w:rFonts w:ascii="Arial" w:hAnsi="Arial" w:cs="Arial"/>
              </w:rPr>
              <w:t>or público, deben contar con declaración jurada que certifique que el total de los ingresos percibidos con recursos públicos, rentas del Sistema de Reparto o pago de Compensación de Cotizaciones Mensual, de sus servidores y consultores de línea, no son igu</w:t>
            </w:r>
            <w:r>
              <w:rPr>
                <w:rFonts w:ascii="Arial" w:hAnsi="Arial" w:cs="Arial"/>
              </w:rPr>
              <w:t>ales o superiores al del Presidente del Estado Plurinacional.</w:t>
            </w:r>
          </w:p>
          <w:p w:rsidR="00000000" w:rsidRDefault="002967CD">
            <w:pPr>
              <w:pStyle w:val="NormalWeb"/>
              <w:ind w:left="840" w:hanging="840"/>
              <w:divId w:val="1691681184"/>
              <w:rPr>
                <w:rFonts w:ascii="Arial" w:hAnsi="Arial" w:cs="Arial"/>
                <w:sz w:val="17"/>
                <w:szCs w:val="17"/>
              </w:rPr>
            </w:pPr>
            <w:r>
              <w:rPr>
                <w:rFonts w:ascii="Lucida Sans Typewriter" w:hAnsi="Lucida Sans Typewriter" w:cs="Lucida Sans Typewriter"/>
              </w:rPr>
              <w:t> </w:t>
            </w:r>
          </w:p>
          <w:p w:rsidR="00000000" w:rsidRDefault="002967CD">
            <w:pPr>
              <w:pStyle w:val="NormalWeb"/>
              <w:ind w:left="840" w:hanging="840"/>
              <w:divId w:val="1691681184"/>
              <w:rPr>
                <w:rFonts w:ascii="Arial" w:hAnsi="Arial" w:cs="Arial"/>
                <w:sz w:val="17"/>
                <w:szCs w:val="17"/>
              </w:rPr>
            </w:pPr>
            <w:r>
              <w:rPr>
                <w:rFonts w:ascii="Lucida Sans Typewriter" w:hAnsi="Lucida Sans Typewriter" w:cs="Lucida Sans Typewriter"/>
                <w:b/>
                <w:bCs/>
              </w:rPr>
              <w:t>II.</w:t>
            </w:r>
            <w:r>
              <w:rPr>
                <w:rFonts w:ascii="Lucida Sans Typewriter" w:hAnsi="Lucida Sans Typewriter" w:cs="Lucida Sans Typewriter"/>
              </w:rPr>
              <w:t xml:space="preserve"> </w:t>
            </w:r>
            <w:r>
              <w:rPr>
                <w:rFonts w:ascii="Lucida Sans Typewriter" w:hAnsi="Lucida Sans Typewriter" w:cs="Lucida Sans Typewriter"/>
              </w:rPr>
              <w:tab/>
              <w:t>Las entidades públicas, mensualmente deben remitir en medio magnético y físico al Viceministerio del Tesoro y Crédito Público dependiente del Ministerio de Economía y Finanzas Públicas, l</w:t>
            </w:r>
            <w:r>
              <w:rPr>
                <w:rFonts w:ascii="Lucida Sans Typewriter" w:hAnsi="Lucida Sans Typewriter" w:cs="Lucida Sans Typewriter"/>
              </w:rPr>
              <w:t>as planillas de remuneración de sus servidores públicos y consultores, contemplando los beneficios colaterales y dietas, independientemente de su fuente de financiamiento.</w:t>
            </w:r>
          </w:p>
          <w:p w:rsidR="00000000" w:rsidRDefault="002967CD">
            <w:pPr>
              <w:pStyle w:val="NormalWeb"/>
              <w:ind w:left="840" w:hanging="840"/>
              <w:divId w:val="1691681184"/>
              <w:rPr>
                <w:rFonts w:ascii="Arial" w:hAnsi="Arial" w:cs="Arial"/>
                <w:sz w:val="17"/>
                <w:szCs w:val="17"/>
              </w:rPr>
            </w:pPr>
            <w:r>
              <w:rPr>
                <w:rFonts w:ascii="Lucida Sans Typewriter" w:hAnsi="Lucida Sans Typewriter" w:cs="Lucida Sans Typewriter"/>
              </w:rPr>
              <w:t> </w:t>
            </w:r>
          </w:p>
          <w:p w:rsidR="00000000" w:rsidRDefault="002967CD">
            <w:pPr>
              <w:pStyle w:val="NormalWeb"/>
              <w:ind w:left="840" w:hanging="840"/>
              <w:divId w:val="1691681184"/>
              <w:rPr>
                <w:rFonts w:ascii="Arial" w:hAnsi="Arial" w:cs="Arial"/>
                <w:sz w:val="17"/>
                <w:szCs w:val="17"/>
              </w:rPr>
            </w:pPr>
            <w:r>
              <w:rPr>
                <w:rFonts w:ascii="Lucida Sans Typewriter" w:hAnsi="Lucida Sans Typewriter" w:cs="Lucida Sans Typewriter"/>
                <w:b/>
                <w:bCs/>
              </w:rPr>
              <w:t>III.</w:t>
            </w:r>
            <w:r>
              <w:rPr>
                <w:rFonts w:ascii="Lucida Sans Typewriter" w:hAnsi="Lucida Sans Typewriter" w:cs="Lucida Sans Typewriter"/>
              </w:rPr>
              <w:t xml:space="preserve"> </w:t>
            </w:r>
            <w:r>
              <w:rPr>
                <w:rFonts w:ascii="Lucida Sans Typewriter" w:hAnsi="Lucida Sans Typewriter" w:cs="Lucida Sans Typewriter"/>
              </w:rPr>
              <w:tab/>
              <w:t>Las personas que perciban rentas del Sistema de Reparto o Compensació</w:t>
            </w:r>
            <w:r>
              <w:rPr>
                <w:rFonts w:ascii="Lucida Sans Typewriter" w:hAnsi="Lucida Sans Typewriter" w:cs="Lucida Sans Typewriter"/>
              </w:rPr>
              <w:t>n de Cotizaciones Mensual a cargo del Estado, y requieran prestar servicios remunerados en entidades del Sector Público, previamente deberán obtener la suspensión temporal del beneficio que otorga el Estado, mientras dure la prestación de servicios. Se exc</w:t>
            </w:r>
            <w:r>
              <w:rPr>
                <w:rFonts w:ascii="Lucida Sans Typewriter" w:hAnsi="Lucida Sans Typewriter" w:cs="Lucida Sans Typewriter"/>
              </w:rPr>
              <w:t>eptúa de esta prohibición a las viudas y derechohabientes del Sistema de Reparto y de la Compensación de Cotizaciones Mensual.</w:t>
            </w:r>
          </w:p>
          <w:p w:rsidR="00000000" w:rsidRDefault="002967CD">
            <w:pPr>
              <w:pStyle w:val="NormalWeb"/>
              <w:ind w:left="840" w:hanging="840"/>
              <w:divId w:val="1691681184"/>
              <w:rPr>
                <w:rFonts w:ascii="Arial" w:hAnsi="Arial" w:cs="Arial"/>
                <w:sz w:val="17"/>
                <w:szCs w:val="17"/>
              </w:rPr>
            </w:pPr>
            <w:r>
              <w:rPr>
                <w:rFonts w:ascii="Lucida Sans Typewriter" w:hAnsi="Lucida Sans Typewriter" w:cs="Lucida Sans Typewriter"/>
              </w:rPr>
              <w:t> </w:t>
            </w:r>
          </w:p>
          <w:p w:rsidR="00000000" w:rsidRDefault="002967CD">
            <w:pPr>
              <w:pStyle w:val="NormalWeb"/>
              <w:ind w:left="840" w:hanging="840"/>
              <w:divId w:val="1691681184"/>
              <w:rPr>
                <w:rFonts w:ascii="Arial" w:hAnsi="Arial" w:cs="Arial"/>
                <w:sz w:val="17"/>
                <w:szCs w:val="17"/>
              </w:rPr>
            </w:pPr>
            <w:r>
              <w:rPr>
                <w:rFonts w:ascii="Lucida Sans Typewriter" w:hAnsi="Lucida Sans Typewriter" w:cs="Lucida Sans Typewriter"/>
                <w:b/>
                <w:bCs/>
              </w:rPr>
              <w:t>IV.</w:t>
            </w:r>
            <w:r>
              <w:rPr>
                <w:rFonts w:ascii="Lucida Sans Typewriter" w:hAnsi="Lucida Sans Typewriter" w:cs="Lucida Sans Typewriter"/>
              </w:rPr>
              <w:t xml:space="preserve"> </w:t>
            </w:r>
            <w:r>
              <w:rPr>
                <w:rFonts w:ascii="Lucida Sans Typewriter" w:hAnsi="Lucida Sans Typewriter" w:cs="Lucida Sans Typewriter"/>
              </w:rPr>
              <w:tab/>
              <w:t>Se exceptúa de lo dispuesto en el Parágrafo precedente, a los rentistas titulares del Sistema de Reparto y pensionados tit</w:t>
            </w:r>
            <w:r>
              <w:rPr>
                <w:rFonts w:ascii="Lucida Sans Typewriter" w:hAnsi="Lucida Sans Typewriter" w:cs="Lucida Sans Typewriter"/>
              </w:rPr>
              <w:t>ulares con pago de Compensación de Cotizaciones Mensual, que presten servicio de cátedra en las Universidades Públicas.</w:t>
            </w:r>
          </w:p>
          <w:p w:rsidR="00000000" w:rsidRDefault="002967CD">
            <w:pPr>
              <w:pStyle w:val="NormalWeb"/>
              <w:ind w:left="840" w:hanging="840"/>
              <w:divId w:val="1691681184"/>
              <w:rPr>
                <w:rFonts w:ascii="Arial" w:hAnsi="Arial" w:cs="Arial"/>
                <w:sz w:val="17"/>
                <w:szCs w:val="17"/>
              </w:rPr>
            </w:pPr>
            <w:r>
              <w:rPr>
                <w:rFonts w:ascii="Lucida Sans Typewriter" w:hAnsi="Lucida Sans Typewriter" w:cs="Lucida Sans Typewriter"/>
              </w:rPr>
              <w:t> </w:t>
            </w:r>
          </w:p>
          <w:p w:rsidR="00000000" w:rsidRDefault="002967CD">
            <w:pPr>
              <w:pStyle w:val="NormalWeb"/>
              <w:ind w:left="840" w:hanging="840"/>
              <w:divId w:val="1691681184"/>
              <w:rPr>
                <w:rFonts w:ascii="Arial" w:hAnsi="Arial" w:cs="Arial"/>
                <w:sz w:val="17"/>
                <w:szCs w:val="17"/>
              </w:rPr>
            </w:pPr>
            <w:r>
              <w:rPr>
                <w:rFonts w:ascii="Lucida Sans Typewriter" w:hAnsi="Lucida Sans Typewriter" w:cs="Lucida Sans Typewriter"/>
                <w:b/>
                <w:bCs/>
              </w:rPr>
              <w:t>V.</w:t>
            </w:r>
            <w:r>
              <w:rPr>
                <w:rFonts w:ascii="Lucida Sans Typewriter" w:hAnsi="Lucida Sans Typewriter" w:cs="Lucida Sans Typewriter"/>
              </w:rPr>
              <w:t xml:space="preserve"> </w:t>
            </w:r>
            <w:r>
              <w:rPr>
                <w:rFonts w:ascii="Lucida Sans Typewriter" w:hAnsi="Lucida Sans Typewriter" w:cs="Lucida Sans Typewriter"/>
              </w:rPr>
              <w:tab/>
              <w:t>Lo dispuesto en el Parágrafo IV no aplicará a aquellos titulares pensionados del Seguro Social Obligatorio de largo plazo o del Si</w:t>
            </w:r>
            <w:r>
              <w:rPr>
                <w:rFonts w:ascii="Lucida Sans Typewriter" w:hAnsi="Lucida Sans Typewriter" w:cs="Lucida Sans Typewriter"/>
              </w:rPr>
              <w:t>stema Integral de Pensiones, cuyas últimas remuneraciones, previas a su solicitud de Pensión, sean por docencia a tiempo completo en Universidades Públicas.</w:t>
            </w:r>
          </w:p>
          <w:p w:rsidR="00000000" w:rsidRDefault="002967CD">
            <w:pPr>
              <w:pStyle w:val="NormalWeb"/>
              <w:divId w:val="1691681184"/>
              <w:rPr>
                <w:rFonts w:ascii="Arial" w:hAnsi="Arial" w:cs="Arial"/>
                <w:sz w:val="17"/>
                <w:szCs w:val="17"/>
              </w:rPr>
            </w:pPr>
            <w:r>
              <w:rPr>
                <w:rFonts w:ascii="Lucida Sans Typewriter" w:hAnsi="Lucida Sans Typewriter" w:cs="Lucida Sans Typewriter"/>
              </w:rPr>
              <w:t> </w:t>
            </w:r>
          </w:p>
          <w:p w:rsidR="00000000" w:rsidRDefault="002967CD">
            <w:pPr>
              <w:pStyle w:val="NormalWeb"/>
              <w:ind w:left="840" w:hanging="840"/>
              <w:divId w:val="1691681184"/>
              <w:rPr>
                <w:rFonts w:ascii="Arial" w:hAnsi="Arial" w:cs="Arial"/>
                <w:sz w:val="17"/>
                <w:szCs w:val="17"/>
              </w:rPr>
            </w:pPr>
            <w:r>
              <w:rPr>
                <w:rFonts w:ascii="Lucida Sans Typewriter" w:hAnsi="Lucida Sans Typewriter" w:cs="Lucida Sans Typewriter"/>
                <w:b/>
                <w:bCs/>
              </w:rPr>
              <w:t>VI.</w:t>
            </w:r>
            <w:r>
              <w:rPr>
                <w:rFonts w:ascii="Lucida Sans Typewriter" w:hAnsi="Lucida Sans Typewriter" w:cs="Lucida Sans Typewriter"/>
              </w:rPr>
              <w:t xml:space="preserve"> </w:t>
            </w:r>
            <w:r>
              <w:rPr>
                <w:rFonts w:ascii="Lucida Sans Typewriter" w:hAnsi="Lucida Sans Typewriter" w:cs="Lucida Sans Typewriter"/>
              </w:rPr>
              <w:tab/>
              <w:t>El pago de la Fracción Solidaria de Vejez para titulares de Pensión en el Sistema Integral d</w:t>
            </w:r>
            <w:r>
              <w:rPr>
                <w:rFonts w:ascii="Lucida Sans Typewriter" w:hAnsi="Lucida Sans Typewriter" w:cs="Lucida Sans Typewriter"/>
              </w:rPr>
              <w:t>e Pensiones, es incompatible con la remuneración percibida en funciones públicas o privadas.</w:t>
            </w:r>
          </w:p>
          <w:p w:rsidR="00000000" w:rsidRDefault="002967CD">
            <w:pPr>
              <w:pStyle w:val="NormalWeb"/>
              <w:ind w:left="840" w:hanging="840"/>
              <w:divId w:val="1691681184"/>
              <w:rPr>
                <w:rFonts w:ascii="Arial" w:hAnsi="Arial" w:cs="Arial"/>
                <w:sz w:val="17"/>
                <w:szCs w:val="17"/>
              </w:rPr>
            </w:pPr>
            <w:r>
              <w:rPr>
                <w:rFonts w:ascii="Lucida Sans Typewriter" w:hAnsi="Lucida Sans Typewriter" w:cs="Lucida Sans Typewriter"/>
              </w:rPr>
              <w:t> </w:t>
            </w:r>
          </w:p>
          <w:p w:rsidR="00000000" w:rsidRDefault="002967CD">
            <w:pPr>
              <w:pStyle w:val="NormalWeb"/>
              <w:ind w:left="840" w:hanging="840"/>
              <w:divId w:val="1691681184"/>
              <w:rPr>
                <w:rFonts w:ascii="Arial" w:hAnsi="Arial" w:cs="Arial"/>
                <w:sz w:val="17"/>
                <w:szCs w:val="17"/>
              </w:rPr>
            </w:pPr>
            <w:r>
              <w:rPr>
                <w:rFonts w:ascii="Lucida Sans Typewriter" w:hAnsi="Lucida Sans Typewriter" w:cs="Lucida Sans Typewriter"/>
                <w:b/>
                <w:bCs/>
              </w:rPr>
              <w:t>VII.</w:t>
            </w:r>
            <w:r>
              <w:rPr>
                <w:rFonts w:ascii="Lucida Sans Typewriter" w:hAnsi="Lucida Sans Typewriter" w:cs="Lucida Sans Typewriter"/>
              </w:rPr>
              <w:t xml:space="preserve"> </w:t>
            </w:r>
            <w:r>
              <w:rPr>
                <w:rFonts w:ascii="Lucida Sans Typewriter" w:hAnsi="Lucida Sans Typewriter" w:cs="Lucida Sans Typewriter"/>
              </w:rPr>
              <w:tab/>
              <w:t>Los servicios profesionales de calificación de médicos habilitados por la Autoridad de Fiscalización y Control de Pensiones y Seguros (APS)conforme al Artí</w:t>
            </w:r>
            <w:r>
              <w:rPr>
                <w:rFonts w:ascii="Lucida Sans Typewriter" w:hAnsi="Lucida Sans Typewriter" w:cs="Lucida Sans Typewriter"/>
              </w:rPr>
              <w:t>culo 70 de la Ley Nº 065 de 10 de diciembre de 2010, no son incompatibles con ninguna actividad pública o privada, independientemente de la carga horaria de trabajo, ni será considerada como una actividad que genere doble percepción.</w:t>
            </w:r>
          </w:p>
          <w:p w:rsidR="00000000" w:rsidRDefault="002967CD">
            <w:pPr>
              <w:pStyle w:val="NormalWeb"/>
              <w:ind w:left="840" w:hanging="840"/>
              <w:divId w:val="1691681184"/>
              <w:rPr>
                <w:rFonts w:ascii="Arial" w:hAnsi="Arial" w:cs="Arial"/>
                <w:sz w:val="17"/>
                <w:szCs w:val="17"/>
              </w:rPr>
            </w:pPr>
            <w:r>
              <w:rPr>
                <w:rFonts w:ascii="Lucida Sans Typewriter" w:hAnsi="Lucida Sans Typewriter" w:cs="Lucida Sans Typewriter"/>
              </w:rPr>
              <w:t> </w:t>
            </w:r>
          </w:p>
          <w:p w:rsidR="00000000" w:rsidRDefault="002967CD">
            <w:pPr>
              <w:pStyle w:val="NormalWeb"/>
              <w:ind w:left="840" w:hanging="840"/>
              <w:divId w:val="1691681184"/>
              <w:rPr>
                <w:rFonts w:ascii="Arial" w:hAnsi="Arial" w:cs="Arial"/>
                <w:sz w:val="17"/>
                <w:szCs w:val="17"/>
              </w:rPr>
            </w:pPr>
            <w:r>
              <w:rPr>
                <w:rFonts w:ascii="Lucida Sans Typewriter" w:hAnsi="Lucida Sans Typewriter" w:cs="Lucida Sans Typewriter"/>
                <w:b/>
                <w:bCs/>
              </w:rPr>
              <w:t xml:space="preserve">VIII. </w:t>
            </w:r>
            <w:r>
              <w:rPr>
                <w:rFonts w:ascii="Lucida Sans Typewriter" w:hAnsi="Lucida Sans Typewriter" w:cs="Lucida Sans Typewriter"/>
                <w:b/>
                <w:bCs/>
              </w:rPr>
              <w:tab/>
            </w:r>
            <w:r>
              <w:rPr>
                <w:rFonts w:ascii="Lucida Sans Typewriter" w:hAnsi="Lucida Sans Typewriter" w:cs="Lucida Sans Typewriter"/>
              </w:rPr>
              <w:t>Se autoriza a</w:t>
            </w:r>
            <w:r>
              <w:rPr>
                <w:rFonts w:ascii="Lucida Sans Typewriter" w:hAnsi="Lucida Sans Typewriter" w:cs="Lucida Sans Typewriter"/>
              </w:rPr>
              <w:t xml:space="preserve"> las entidades del sector público, otorgar mensualmente una compensación económica a favor de los Edecanes y miembros de Seguridad Física que brindan servicios exclusivos a las Máximas Autoridades Ejecutivas y a las Entidades Públicas, la misma que no será</w:t>
            </w:r>
            <w:r>
              <w:rPr>
                <w:rFonts w:ascii="Lucida Sans Typewriter" w:hAnsi="Lucida Sans Typewriter" w:cs="Lucida Sans Typewriter"/>
              </w:rPr>
              <w:t xml:space="preserve"> considerada doble percepción de haberes.</w:t>
            </w:r>
          </w:p>
          <w:p w:rsidR="00000000" w:rsidRDefault="002967CD">
            <w:pPr>
              <w:pStyle w:val="NormalWeb"/>
              <w:divId w:val="1691681184"/>
              <w:rPr>
                <w:rFonts w:ascii="Arial" w:hAnsi="Arial" w:cs="Arial"/>
                <w:sz w:val="17"/>
                <w:szCs w:val="17"/>
              </w:rPr>
            </w:pPr>
            <w:r>
              <w:rPr>
                <w:rFonts w:ascii="Lucida Sans Typewriter" w:hAnsi="Lucida Sans Typewriter" w:cs="Lucida Sans Typewriter"/>
              </w:rPr>
              <w:t> </w:t>
            </w:r>
          </w:p>
          <w:p w:rsidR="00000000" w:rsidRDefault="002967CD">
            <w:pPr>
              <w:pStyle w:val="NormalWeb"/>
              <w:ind w:left="840" w:hanging="840"/>
              <w:divId w:val="1691681184"/>
              <w:rPr>
                <w:rFonts w:ascii="Arial" w:hAnsi="Arial" w:cs="Arial"/>
                <w:sz w:val="17"/>
                <w:szCs w:val="17"/>
              </w:rPr>
            </w:pPr>
            <w:r>
              <w:rPr>
                <w:rFonts w:ascii="Lucida Sans Typewriter" w:hAnsi="Lucida Sans Typewriter" w:cs="Lucida Sans Typewriter"/>
                <w:b/>
                <w:bCs/>
              </w:rPr>
              <w:t>IX.</w:t>
            </w:r>
            <w:r>
              <w:rPr>
                <w:rFonts w:ascii="Lucida Sans Typewriter" w:hAnsi="Lucida Sans Typewriter" w:cs="Lucida Sans Typewriter"/>
              </w:rPr>
              <w:t xml:space="preserve"> </w:t>
            </w:r>
            <w:r>
              <w:rPr>
                <w:rFonts w:ascii="Lucida Sans Typewriter" w:hAnsi="Lucida Sans Typewriter" w:cs="Lucida Sans Typewriter"/>
              </w:rPr>
              <w:tab/>
              <w:t>Los servidores del sector público, que perciban remuneración mensual, no podrán gozar de dietas, gastos de representación o cualquier otro beneficio colateral por su participación o representación oficial en</w:t>
            </w:r>
            <w:r>
              <w:rPr>
                <w:rFonts w:ascii="Lucida Sans Typewriter" w:hAnsi="Lucida Sans Typewriter" w:cs="Lucida Sans Typewriter"/>
              </w:rPr>
              <w:t xml:space="preserve"> Directorios, Consejos, Comités, Comisiones, Fondos, Juntas, u otros bajo cualquier denominación, salvo lo dispuesto expresamente en los Parágrafos precedentes.</w:t>
            </w:r>
          </w:p>
          <w:p w:rsidR="00000000" w:rsidRDefault="002967CD">
            <w:pPr>
              <w:pStyle w:val="NormalWeb"/>
              <w:divId w:val="1691681184"/>
              <w:rPr>
                <w:rFonts w:ascii="Arial" w:hAnsi="Arial" w:cs="Arial"/>
                <w:sz w:val="17"/>
                <w:szCs w:val="17"/>
              </w:rPr>
            </w:pPr>
            <w:r>
              <w:rPr>
                <w:rFonts w:ascii="Lucida Sans Typewriter" w:hAnsi="Lucida Sans Typewriter" w:cs="Lucida Sans Typewriter"/>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12. (RÉGIMEN DE VACACIONES).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El uso de vacaciones de los servidores pú</w:t>
            </w:r>
            <w:r>
              <w:rPr>
                <w:rFonts w:ascii="Arial" w:hAnsi="Arial" w:cs="Arial"/>
              </w:rPr>
              <w:t xml:space="preserve">blicos contemplados en el régimen de la Ley del Estatuto del Funcionario Público, no podrá acumularse por más de dos gestiones consecutivas; excepcionalmente, la compensación económica de la vacación procederá en caso de fallecimiento del servidor público </w:t>
            </w:r>
            <w:r>
              <w:rPr>
                <w:rFonts w:ascii="Arial" w:hAnsi="Arial" w:cs="Arial"/>
              </w:rPr>
              <w:t>a favor de sus herederos, por motivo de extinción de la entidad, cuando exista fallo judicial o sentencia ejecutoriada.</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II. </w:t>
            </w:r>
            <w:r>
              <w:rPr>
                <w:rFonts w:ascii="Arial" w:hAnsi="Arial" w:cs="Arial"/>
                <w:b/>
                <w:bCs/>
              </w:rPr>
              <w:tab/>
            </w:r>
            <w:r>
              <w:rPr>
                <w:rFonts w:ascii="Arial" w:hAnsi="Arial" w:cs="Arial"/>
              </w:rPr>
              <w:t xml:space="preserve">El derecho a la vacación en el régimen de la Ley General del Trabajo, se sujetará conforme a lo establecido en sus disposiciones </w:t>
            </w:r>
            <w:r>
              <w:rPr>
                <w:rFonts w:ascii="Arial" w:hAnsi="Arial" w:cs="Arial"/>
              </w:rPr>
              <w:t>y normas conexas.</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13. (PROCEDIMIENTO DE CONTINGENCIAS JUDICIALES).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 xml:space="preserve">Las obligaciones en contra del Estado declaradas legal o judicialmente, que se encuentren debidamente ejecutoriadas, deberán ser comunicadas, por las entidades afectadas, </w:t>
            </w:r>
            <w:r>
              <w:rPr>
                <w:rFonts w:ascii="Arial" w:hAnsi="Arial" w:cs="Arial"/>
              </w:rPr>
              <w:t>o la autoridad competente, al Ministerio de Economía y Finanzas Públicas, para que efectúe la previsión e inscripción presupuestaria en la partida de gasto “Contingencias Judiciales” que se establece anualmente, cuando se trate de recursos del Tesoro Gener</w:t>
            </w:r>
            <w:r>
              <w:rPr>
                <w:rFonts w:ascii="Arial" w:hAnsi="Arial" w:cs="Arial"/>
              </w:rPr>
              <w:t>al de la Nación.</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II. </w:t>
            </w:r>
            <w:r>
              <w:rPr>
                <w:rFonts w:ascii="Arial" w:hAnsi="Arial" w:cs="Arial"/>
                <w:b/>
                <w:bCs/>
              </w:rPr>
              <w:tab/>
            </w:r>
            <w:r>
              <w:rPr>
                <w:rFonts w:ascii="Arial" w:hAnsi="Arial" w:cs="Arial"/>
              </w:rPr>
              <w:t>Las Instituciones Públicas que tienen obligaciones de pago con Sentencia Judicial Ejecutoriada, a ser cubiertas con recursos diferentes al Tesoro General de la Nación, deberán consignar en la partida “Contingencias Judiciales” en su</w:t>
            </w:r>
            <w:r>
              <w:rPr>
                <w:rFonts w:ascii="Arial" w:hAnsi="Arial" w:cs="Arial"/>
              </w:rPr>
              <w:t>s presupuestos institucionales y asignar recursos en función a su flujo de caja.</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III.</w:t>
            </w:r>
            <w:r>
              <w:rPr>
                <w:rFonts w:ascii="Arial" w:hAnsi="Arial" w:cs="Arial"/>
              </w:rPr>
              <w:t xml:space="preserve"> </w:t>
            </w:r>
            <w:r>
              <w:rPr>
                <w:rFonts w:ascii="Arial" w:hAnsi="Arial" w:cs="Arial"/>
              </w:rPr>
              <w:tab/>
              <w:t>Para la ejecución del gasto de obligaciones con Sentencia Judicial Ejecutoriada, las entidades públicas, deben contar con informació</w:t>
            </w:r>
            <w:r>
              <w:rPr>
                <w:rFonts w:ascii="Arial" w:hAnsi="Arial" w:cs="Arial"/>
              </w:rPr>
              <w:t>n verificable, cuantificable y registrada en los Estados Financieros debidamente auditados. El Servicio Nacional de Patrimonio del Estado (SENAPE) queda exento de la presentación de Estados Financieros, únicamente en casos de aquellas entidades disueltas o</w:t>
            </w:r>
            <w:r>
              <w:rPr>
                <w:rFonts w:ascii="Arial" w:hAnsi="Arial" w:cs="Arial"/>
              </w:rPr>
              <w:t xml:space="preserve"> liquidadas. </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IV. </w:t>
            </w:r>
            <w:r>
              <w:rPr>
                <w:rFonts w:ascii="Arial" w:hAnsi="Arial" w:cs="Arial"/>
                <w:b/>
                <w:bCs/>
              </w:rPr>
              <w:tab/>
            </w:r>
            <w:r>
              <w:rPr>
                <w:rFonts w:ascii="Arial" w:hAnsi="Arial" w:cs="Arial"/>
              </w:rPr>
              <w:t>Las autoridades judiciales y administrativas que determinen el cumplimiento de estas obligaciones, deben considerar lo establecido en los parágrafos anteriores, para definir las modalidades de cumplimiento.</w:t>
            </w:r>
          </w:p>
          <w:p w:rsidR="00000000" w:rsidRDefault="002967CD">
            <w:pPr>
              <w:pStyle w:val="NormalWeb"/>
              <w:ind w:left="840" w:hanging="840"/>
              <w:divId w:val="1691681184"/>
              <w:rPr>
                <w:rFonts w:ascii="Arial" w:hAnsi="Arial" w:cs="Arial"/>
                <w:sz w:val="17"/>
                <w:szCs w:val="17"/>
              </w:rPr>
            </w:pPr>
            <w:r>
              <w:rPr>
                <w:rFonts w:ascii="Arial" w:hAnsi="Arial" w:cs="Arial"/>
                <w:b/>
                <w:bCs/>
              </w:rPr>
              <w:t>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Artículo 14. (PRESUP</w:t>
            </w:r>
            <w:r>
              <w:rPr>
                <w:rFonts w:ascii="Arial" w:hAnsi="Arial" w:cs="Arial"/>
                <w:b/>
                <w:bCs/>
              </w:rPr>
              <w:t xml:space="preserve">UESTO DE FUNCIONAMIENTO DE LA UNIVERSIDAD PÚBLICA DE EL ALTO). </w:t>
            </w:r>
            <w:r>
              <w:rPr>
                <w:rFonts w:ascii="Arial" w:hAnsi="Arial" w:cs="Arial"/>
              </w:rPr>
              <w:t>Son fuentes de financiamiento de la Universidad Pública de El Alto, las siguientes:</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numPr>
                <w:ilvl w:val="0"/>
                <w:numId w:val="1"/>
              </w:numPr>
              <w:divId w:val="1691681184"/>
            </w:pPr>
            <w:r>
              <w:t xml:space="preserve">Subvención Ordinaria.- Se considerará como base de cálculo el presupuesto asignado en la gestión 2011, que </w:t>
            </w:r>
            <w:r>
              <w:t>alcanza a Bs50.177.675.- (Cincuenta Millones Ciento Setenta y Siete Mil Seiscientos Setenta y Cinco 00/100 Bolivianos).</w:t>
            </w:r>
          </w:p>
          <w:p w:rsidR="00000000" w:rsidRDefault="002967CD">
            <w:pPr>
              <w:pStyle w:val="NormalWeb"/>
              <w:ind w:left="1980" w:hanging="560"/>
              <w:divId w:val="1691681184"/>
              <w:rPr>
                <w:rFonts w:ascii="Arial" w:hAnsi="Arial" w:cs="Arial"/>
                <w:sz w:val="17"/>
                <w:szCs w:val="17"/>
              </w:rPr>
            </w:pPr>
            <w:r>
              <w:rPr>
                <w:rFonts w:ascii="Arial" w:hAnsi="Arial" w:cs="Arial"/>
              </w:rPr>
              <w:t> </w:t>
            </w:r>
          </w:p>
          <w:p w:rsidR="00000000" w:rsidRDefault="002967CD">
            <w:pPr>
              <w:pStyle w:val="NormalWeb"/>
              <w:numPr>
                <w:ilvl w:val="0"/>
                <w:numId w:val="2"/>
              </w:numPr>
              <w:divId w:val="1691681184"/>
            </w:pPr>
            <w:r>
              <w:t>Coparticipación Tributaria.</w:t>
            </w:r>
          </w:p>
          <w:p w:rsidR="00000000" w:rsidRDefault="002967CD">
            <w:pPr>
              <w:pStyle w:val="NormalWeb"/>
              <w:ind w:left="1980" w:hanging="560"/>
              <w:divId w:val="1691681184"/>
              <w:rPr>
                <w:rFonts w:ascii="Arial" w:hAnsi="Arial" w:cs="Arial"/>
                <w:sz w:val="17"/>
                <w:szCs w:val="17"/>
              </w:rPr>
            </w:pPr>
            <w:r>
              <w:rPr>
                <w:rFonts w:ascii="Arial" w:hAnsi="Arial" w:cs="Arial"/>
              </w:rPr>
              <w:t> </w:t>
            </w:r>
          </w:p>
          <w:p w:rsidR="00000000" w:rsidRDefault="002967CD">
            <w:pPr>
              <w:pStyle w:val="NormalWeb"/>
              <w:numPr>
                <w:ilvl w:val="0"/>
                <w:numId w:val="3"/>
              </w:numPr>
              <w:divId w:val="1691681184"/>
            </w:pPr>
            <w:r>
              <w:t>Ingresos propios.</w:t>
            </w:r>
          </w:p>
          <w:p w:rsidR="00000000" w:rsidRDefault="002967CD">
            <w:pPr>
              <w:pStyle w:val="NormalWeb"/>
              <w:ind w:left="1980" w:hanging="560"/>
              <w:divId w:val="1691681184"/>
              <w:rPr>
                <w:rFonts w:ascii="Arial" w:hAnsi="Arial" w:cs="Arial"/>
                <w:sz w:val="17"/>
                <w:szCs w:val="17"/>
              </w:rPr>
            </w:pPr>
            <w:r>
              <w:rPr>
                <w:rFonts w:ascii="Arial" w:hAnsi="Arial" w:cs="Arial"/>
              </w:rPr>
              <w:t> </w:t>
            </w:r>
          </w:p>
          <w:p w:rsidR="00000000" w:rsidRDefault="002967CD">
            <w:pPr>
              <w:pStyle w:val="NormalWeb"/>
              <w:numPr>
                <w:ilvl w:val="0"/>
                <w:numId w:val="4"/>
              </w:numPr>
              <w:divId w:val="1691681184"/>
            </w:pPr>
            <w:r>
              <w:t>Cooperación internacional.</w:t>
            </w:r>
          </w:p>
          <w:p w:rsidR="00000000" w:rsidRDefault="002967CD">
            <w:pPr>
              <w:pStyle w:val="NormalWeb"/>
              <w:ind w:left="1980" w:hanging="560"/>
              <w:divId w:val="1691681184"/>
              <w:rPr>
                <w:rFonts w:ascii="Arial" w:hAnsi="Arial" w:cs="Arial"/>
                <w:sz w:val="17"/>
                <w:szCs w:val="17"/>
              </w:rPr>
            </w:pPr>
            <w:r>
              <w:rPr>
                <w:rFonts w:ascii="Arial" w:hAnsi="Arial" w:cs="Arial"/>
              </w:rPr>
              <w:t> </w:t>
            </w:r>
          </w:p>
          <w:p w:rsidR="00000000" w:rsidRDefault="002967CD">
            <w:pPr>
              <w:pStyle w:val="NormalWeb"/>
              <w:numPr>
                <w:ilvl w:val="0"/>
                <w:numId w:val="5"/>
              </w:numPr>
              <w:divId w:val="1691681184"/>
            </w:pPr>
            <w:r>
              <w:t>Legados y donaciones.</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Artí</w:t>
            </w:r>
            <w:r>
              <w:rPr>
                <w:rFonts w:ascii="Arial" w:hAnsi="Arial" w:cs="Arial"/>
                <w:b/>
                <w:bCs/>
              </w:rPr>
              <w:t xml:space="preserve">culo 15. (MONTOS RECAUDADOS POR LA AUTORIDAD DE REGULACIÓN Y FISCALIZACIÓN DE TELECOMUNICACIONES Y TRANSPORTES).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Los montos recaudados por la Autoridad de Regulación y Fiscalización de Telecomunicaciones y Transportes (ATT), por concepto de pagos po</w:t>
            </w:r>
            <w:r>
              <w:rPr>
                <w:rFonts w:ascii="Arial" w:hAnsi="Arial" w:cs="Arial"/>
              </w:rPr>
              <w:t>r derechos de asignación y uso de frecuencias, multas, remates de bienes, ejecución de boletas de garantía y excedentes de transferencias a nuevos titulares, serán destinados al Programa Nacional de Telecomunicaciones de Inclusión Social (PRONTIS), dependi</w:t>
            </w:r>
            <w:r>
              <w:rPr>
                <w:rFonts w:ascii="Arial" w:hAnsi="Arial" w:cs="Arial"/>
              </w:rPr>
              <w:t>ente del Ministerio de Obras Públicas, Servicios y Vivienda, previa deducción del pago de obligaciones a la Unión Internacional de Telecomunicaciones (UIT) y los recursos que demande la inversión para el control del Espectro Radioeléctrico, los cuales debe</w:t>
            </w:r>
            <w:r>
              <w:rPr>
                <w:rFonts w:ascii="Arial" w:hAnsi="Arial" w:cs="Arial"/>
              </w:rPr>
              <w:t>rán ser transferidos a la Cuenta Única del Tesoro General de la Nación.</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Los ingresos por tasas de fiscalización y regulación, así como otros recursos específicos que perciba la Autoridad de Regulación y Fiscalización de Telecomunicaciones y Transpor</w:t>
            </w:r>
            <w:r>
              <w:rPr>
                <w:rFonts w:ascii="Arial" w:hAnsi="Arial" w:cs="Arial"/>
              </w:rPr>
              <w:t xml:space="preserve">tes (ATT), serán depositados en la Cuenta Única del Tesoro (CUT). Los montos y formas de pago de las tasas de Fiscalización y Regulación, serán establecidos mediante reglamento, en función a lo descrito en los numerales 1 al 5 del Parágrafo I del Artículo </w:t>
            </w:r>
            <w:r>
              <w:rPr>
                <w:rFonts w:ascii="Arial" w:hAnsi="Arial" w:cs="Arial"/>
              </w:rPr>
              <w:t>63 de la Ley Nº 164 de 8 de agosto de 2011.</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III.</w:t>
            </w:r>
            <w:r>
              <w:rPr>
                <w:rFonts w:ascii="Arial" w:hAnsi="Arial" w:cs="Arial"/>
              </w:rPr>
              <w:tab/>
            </w:r>
            <w:r>
              <w:rPr>
                <w:rFonts w:ascii="Arial" w:hAnsi="Arial" w:cs="Arial"/>
              </w:rPr>
              <w:tab/>
              <w:t xml:space="preserve">El Tesoro General de la Nación proveerá a la Autoridad de Regulación y Fiscalización de Telecomunicaciones y Transportes (ATT) los recursos que correspondan para el ejercicio de sus funciones, conforme a </w:t>
            </w:r>
            <w:r>
              <w:rPr>
                <w:rFonts w:ascii="Arial" w:hAnsi="Arial" w:cs="Arial"/>
              </w:rPr>
              <w:t>su disponibilidad financiera.</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16. (FONDO PARA LA DOTACIÓN DE INFRAESTRUCTURA).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Los recursos generados por la venta de los bienes señalados en los Parágrafos siguientes, deberán ser abonados en la Cuenta Ú</w:t>
            </w:r>
            <w:r>
              <w:rPr>
                <w:rFonts w:ascii="Arial" w:hAnsi="Arial" w:cs="Arial"/>
              </w:rPr>
              <w:t>nica del Tesoro (CUT), a objeto de constituir un Fondo no reembolsable administrado por el Ministerio de Economía y Finanzas Públicas (MEFP), destinado a la dotación y mejora de la infraestructura para el Órgano Ejecutivo del nivel central del Estado, exce</w:t>
            </w:r>
            <w:r>
              <w:rPr>
                <w:rFonts w:ascii="Arial" w:hAnsi="Arial" w:cs="Arial"/>
              </w:rPr>
              <w:t>ptuando a la Policía Boliviana y Fuerzas Armadas.</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Se autoriza al Tesoro General de la Nación (TGN) a través del Ministerio de Economía y Finanzas Públicas (MEFP) y por intermedio del Servicio Nacional de Patrimonio del Estado (SENAPE), vender los bi</w:t>
            </w:r>
            <w:r>
              <w:rPr>
                <w:rFonts w:ascii="Arial" w:hAnsi="Arial" w:cs="Arial"/>
              </w:rPr>
              <w:t>enes inmuebles que fueron entregados, producto del proceso de liquidación de los Bancos Sur S.A., Cochabamba S.A. y BIDESA S.A.</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III.</w:t>
            </w:r>
            <w:r>
              <w:rPr>
                <w:rFonts w:ascii="Arial" w:hAnsi="Arial" w:cs="Arial"/>
              </w:rPr>
              <w:t xml:space="preserve"> </w:t>
            </w:r>
            <w:r>
              <w:rPr>
                <w:rFonts w:ascii="Arial" w:hAnsi="Arial" w:cs="Arial"/>
              </w:rPr>
              <w:tab/>
              <w:t xml:space="preserve">Se autoriza al Intendente Liquidador de los Bancos Sur S.A., Cochabamba S.A. e Internacional de Desarrollo S.A., vender </w:t>
            </w:r>
            <w:r>
              <w:rPr>
                <w:rFonts w:ascii="Arial" w:hAnsi="Arial" w:cs="Arial"/>
              </w:rPr>
              <w:t>de acuerdo a reglamentación, los bienes muebles e inmuebles que aún no fueron transferidos al Tesoro General de la Nación (TGN).</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IV.</w:t>
            </w:r>
            <w:r>
              <w:rPr>
                <w:rFonts w:ascii="Arial" w:hAnsi="Arial" w:cs="Arial"/>
              </w:rPr>
              <w:t xml:space="preserve"> </w:t>
            </w:r>
            <w:r>
              <w:rPr>
                <w:rFonts w:ascii="Arial" w:hAnsi="Arial" w:cs="Arial"/>
              </w:rPr>
              <w:tab/>
              <w:t>El Órgano Ejecutivo del nivel central del Estado, deberá reglamentar el presente Artículo en un plazo no mayor a sesenta</w:t>
            </w:r>
            <w:r>
              <w:rPr>
                <w:rFonts w:ascii="Arial" w:hAnsi="Arial" w:cs="Arial"/>
              </w:rPr>
              <w:t xml:space="preserve"> (60) días a partir de la promulgación de la presente Ley.</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17. (CRÉDITO INTERNO DEL BANCO CENTRAL DE BOLIVIA A FAVOR DE YACIMIENTOS PETROLÍFEROS FISCALES BOLIVIANOS).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Se autoriza al Banco Central de Bolivia (BCB), otorgar un crédito extra</w:t>
            </w:r>
            <w:r>
              <w:rPr>
                <w:rFonts w:ascii="Arial" w:hAnsi="Arial" w:cs="Arial"/>
              </w:rPr>
              <w:t>ordinario de hasta Bs9.100.000.000.- (Nueve Mil Cien Millones 00/100 Bolivianos), a favor de Yacimientos Petrolíferos Fiscales Bolivianos (YPFB) en condiciones concesionales, con el objeto de financiar proyectos de industrialización en el sector de hidroca</w:t>
            </w:r>
            <w:r>
              <w:rPr>
                <w:rFonts w:ascii="Arial" w:hAnsi="Arial" w:cs="Arial"/>
              </w:rPr>
              <w:t>rburos. Para este efecto, se exceptúa al Banco Central de Bolivia (BCB) de la aplicación de los Artículos 22 y 23 de la Ley N° 1670 de 31 de octubre de 1995.</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II. </w:t>
            </w:r>
            <w:r>
              <w:rPr>
                <w:rFonts w:ascii="Arial" w:hAnsi="Arial" w:cs="Arial"/>
                <w:b/>
                <w:bCs/>
              </w:rPr>
              <w:tab/>
            </w:r>
            <w:r>
              <w:rPr>
                <w:rFonts w:ascii="Arial" w:hAnsi="Arial" w:cs="Arial"/>
              </w:rPr>
              <w:t>En el marco del Parágrafo I del presente Artículo y de acuerdo a lo establecido por el Nume</w:t>
            </w:r>
            <w:r>
              <w:rPr>
                <w:rFonts w:ascii="Arial" w:hAnsi="Arial" w:cs="Arial"/>
              </w:rPr>
              <w:t>ral 10, Parágrafo I del Artículo 158 y del Artículo 322 de la Constitución Política del Estado, se autoriza a Yacimientos Petrolíferos Fiscales Bolivianos (YPFB), contratar el crédito referido precedente con el Banco Central de Bolivia (BCB), cuya garantía</w:t>
            </w:r>
            <w:r>
              <w:rPr>
                <w:rFonts w:ascii="Arial" w:hAnsi="Arial" w:cs="Arial"/>
              </w:rPr>
              <w:t xml:space="preserve"> estará constituida exclusivamente por la autorización de débito de cualquiera de las cuentas que Yacimientos Petrolíferos Fiscales Bolivianos (YPFB) posea o adquiera.</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III. </w:t>
            </w:r>
            <w:r>
              <w:rPr>
                <w:rFonts w:ascii="Arial" w:hAnsi="Arial" w:cs="Arial"/>
                <w:b/>
                <w:bCs/>
              </w:rPr>
              <w:tab/>
            </w:r>
            <w:r>
              <w:rPr>
                <w:rFonts w:ascii="Arial" w:hAnsi="Arial" w:cs="Arial"/>
              </w:rPr>
              <w:t>Corresponde al Ministerio de Hidrocarburos y Energía, la evaluació</w:t>
            </w:r>
            <w:r>
              <w:rPr>
                <w:rFonts w:ascii="Arial" w:hAnsi="Arial" w:cs="Arial"/>
              </w:rPr>
              <w:t>n y seguimiento de los recursos del crédito a ser otorgado por el Banco Central de Bolivia (BCB) a favor de Yacimientos Petrolíferos Fiscales Bolivianos (YPFB).</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sz w:val="20"/>
                <w:szCs w:val="20"/>
              </w:rPr>
              <w:t>Artículo</w:t>
            </w:r>
            <w:r>
              <w:rPr>
                <w:rFonts w:ascii="Arial" w:hAnsi="Arial" w:cs="Arial"/>
                <w:b/>
                <w:bCs/>
              </w:rPr>
              <w:t xml:space="preserve"> 18. (INVERSIONES EN PROYECTOS DE INDUSTRIALIZACIÓN). </w:t>
            </w:r>
          </w:p>
          <w:p w:rsidR="00000000" w:rsidRDefault="002967CD">
            <w:pPr>
              <w:pStyle w:val="NormalWeb"/>
              <w:ind w:firstLine="840"/>
              <w:divId w:val="1691681184"/>
              <w:rPr>
                <w:rFonts w:ascii="Arial" w:hAnsi="Arial" w:cs="Arial"/>
                <w:sz w:val="17"/>
                <w:szCs w:val="17"/>
              </w:rPr>
            </w:pPr>
            <w:r>
              <w:rPr>
                <w:rFonts w:ascii="Arial" w:hAnsi="Arial" w:cs="Arial"/>
                <w:b/>
                <w:bCs/>
              </w:rPr>
              <w:t> </w:t>
            </w:r>
          </w:p>
          <w:p w:rsidR="00000000" w:rsidRDefault="002967CD">
            <w:pPr>
              <w:divId w:val="1691681184"/>
              <w:rPr>
                <w:rFonts w:ascii="Arial" w:eastAsia="Times New Roman" w:hAnsi="Arial" w:cs="Arial"/>
                <w:sz w:val="17"/>
                <w:szCs w:val="17"/>
              </w:rPr>
            </w:pPr>
            <w:r>
              <w:rPr>
                <w:rFonts w:ascii="Arial" w:eastAsia="Times New Roman" w:hAnsi="Arial" w:cs="Arial"/>
                <w:sz w:val="17"/>
                <w:szCs w:val="17"/>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Las Plantas de Separac</w:t>
            </w:r>
            <w:r>
              <w:rPr>
                <w:rFonts w:ascii="Arial" w:hAnsi="Arial" w:cs="Arial"/>
              </w:rPr>
              <w:t>ión de Líquidos de Río Grande y Gran Chaco, las Plantas de Gas Natural Licuado (GNL) y las Plantas de Petroquímica de Yacimientos Petrolíferos Fiscales Bolivianos (YPFB), se encuentran dentro de la actividad de Refinación e Industrialización de la cadena d</w:t>
            </w:r>
            <w:r>
              <w:rPr>
                <w:rFonts w:ascii="Arial" w:hAnsi="Arial" w:cs="Arial"/>
              </w:rPr>
              <w:t>e hidrocarburos. Los ingresos generados por las plantas, serán utilizados exclusivamente por Yacimientos Petrolíferos Fiscales Bolivianos (YPFB), para garantizar su funcionamiento, el servicio de la deuda y la realización de inversiones en proyectos de Ref</w:t>
            </w:r>
            <w:r>
              <w:rPr>
                <w:rFonts w:ascii="Arial" w:hAnsi="Arial" w:cs="Arial"/>
              </w:rPr>
              <w:t>inación e Industrialización, las otras actividades de la cadena de hidrocarburos y otros proyectos productivos.</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El Gas Natural utilizado para la producción del Gas Natural Licuado (GNL) será valorado al precio del mercado interno, neto de Impuesto a</w:t>
            </w:r>
            <w:r>
              <w:rPr>
                <w:rFonts w:ascii="Arial" w:hAnsi="Arial" w:cs="Arial"/>
              </w:rPr>
              <w:t>l Valor Agregado (IVA).</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19. (CRÉDITO INTERNO DEL BANCO CENTRAL DE BOLIVIA A FAVOR DE LA EMPRESA AZUCARERA SAN BUENAVENTURA – EASBA).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Se autoriza al Banco Central de Bolivia (BCB), otorgar un crédito extraordinario de hasta Bs245.000.000.-</w:t>
            </w:r>
            <w:r>
              <w:rPr>
                <w:rFonts w:ascii="Arial" w:hAnsi="Arial" w:cs="Arial"/>
              </w:rPr>
              <w:t xml:space="preserve"> (Doscientos Cuarenta y Cinco Millones 00/100 Bolivianos), a favor de la Empresa Azucarera San Buenaventura (EASBA), en condiciones concesionales, con el objeto de financiar proyectos de inversión productiva. Para este efecto, se exceptúa al BCB de la apli</w:t>
            </w:r>
            <w:r>
              <w:rPr>
                <w:rFonts w:ascii="Arial" w:hAnsi="Arial" w:cs="Arial"/>
              </w:rPr>
              <w:t>cación de los Artículos 22 y 23 de la Ley N° 1670 de 31 de octubre de 1995.</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II. </w:t>
            </w:r>
            <w:r>
              <w:rPr>
                <w:rFonts w:ascii="Arial" w:hAnsi="Arial" w:cs="Arial"/>
                <w:b/>
                <w:bCs/>
              </w:rPr>
              <w:tab/>
            </w:r>
            <w:r>
              <w:rPr>
                <w:rFonts w:ascii="Arial" w:hAnsi="Arial" w:cs="Arial"/>
              </w:rPr>
              <w:t>En el marco del parágrafo I del presente Artículo y de acuerdo a lo establecido por el Numeral 10, Parágrafo I del Artículo 158 y del Artículo 322 de la Constitución Polític</w:t>
            </w:r>
            <w:r>
              <w:rPr>
                <w:rFonts w:ascii="Arial" w:hAnsi="Arial" w:cs="Arial"/>
              </w:rPr>
              <w:t>a del Estado, se autoriza a Empresa Azucarera San Buenaventura (EASBA), contratar el crédito referido precedente con el Banco Central de Bolivia (BCB).</w:t>
            </w:r>
          </w:p>
          <w:p w:rsidR="00000000" w:rsidRDefault="002967CD">
            <w:pPr>
              <w:pStyle w:val="NormalWeb"/>
              <w:ind w:left="840" w:hanging="840"/>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III. </w:t>
            </w:r>
            <w:r>
              <w:rPr>
                <w:rFonts w:ascii="Arial" w:hAnsi="Arial" w:cs="Arial"/>
                <w:b/>
                <w:bCs/>
              </w:rPr>
              <w:tab/>
            </w:r>
            <w:r>
              <w:rPr>
                <w:rFonts w:ascii="Arial" w:hAnsi="Arial" w:cs="Arial"/>
              </w:rPr>
              <w:t>Corresponde al Ministerio de Desarrollo Productivo y Economía Plural, la evaluación y seguimient</w:t>
            </w:r>
            <w:r>
              <w:rPr>
                <w:rFonts w:ascii="Arial" w:hAnsi="Arial" w:cs="Arial"/>
              </w:rPr>
              <w:t>o de los recursos del crédito a ser otorgado por el Banco Central de Bolivia (BCB) a favor de la Empresa Azucarera San Buenaventura (EASBA).</w:t>
            </w:r>
          </w:p>
          <w:p w:rsidR="00000000" w:rsidRDefault="002967CD">
            <w:pPr>
              <w:pStyle w:val="NormalWeb"/>
              <w:ind w:left="840" w:hanging="840"/>
              <w:divId w:val="1691681184"/>
              <w:rPr>
                <w:rFonts w:ascii="Arial" w:hAnsi="Arial" w:cs="Arial"/>
                <w:sz w:val="17"/>
                <w:szCs w:val="17"/>
              </w:rPr>
            </w:pPr>
            <w:r>
              <w:rPr>
                <w:rFonts w:ascii="Arial" w:hAnsi="Arial" w:cs="Arial"/>
                <w:b/>
                <w:bCs/>
                <w:sz w:val="22"/>
                <w:szCs w:val="22"/>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IV. </w:t>
            </w:r>
            <w:r>
              <w:rPr>
                <w:rFonts w:ascii="Arial" w:hAnsi="Arial" w:cs="Arial"/>
                <w:b/>
                <w:bCs/>
              </w:rPr>
              <w:tab/>
            </w:r>
            <w:r>
              <w:rPr>
                <w:rFonts w:ascii="Arial" w:hAnsi="Arial" w:cs="Arial"/>
              </w:rPr>
              <w:t>Se autoriza al Ministerio de Economía y Finanzas Públicas a través del Tesoro General de la Nació</w:t>
            </w:r>
            <w:r>
              <w:rPr>
                <w:rFonts w:ascii="Arial" w:hAnsi="Arial" w:cs="Arial"/>
              </w:rPr>
              <w:t>n, emitir y otorgar Bonos del Tesoro No Negociables a favor del Banco Central de Bolivia (BCB) para garantizar el monto del crédito otorgado por dicha entidad a favor de la Empresa Azucarera San Buenaventura (EASBA), a solicitud escrita del Ministerio cabe</w:t>
            </w:r>
            <w:r>
              <w:rPr>
                <w:rFonts w:ascii="Arial" w:hAnsi="Arial" w:cs="Arial"/>
              </w:rPr>
              <w:t>za de sector y en forma conjunta con el Banco Central de Bolivia (BCB).</w:t>
            </w:r>
          </w:p>
          <w:p w:rsidR="00000000" w:rsidRDefault="002967CD">
            <w:pPr>
              <w:pStyle w:val="NormalWeb"/>
              <w:ind w:left="840" w:hanging="840"/>
              <w:divId w:val="1691681184"/>
              <w:rPr>
                <w:rFonts w:ascii="Arial" w:hAnsi="Arial" w:cs="Arial"/>
                <w:sz w:val="17"/>
                <w:szCs w:val="17"/>
              </w:rPr>
            </w:pPr>
            <w:r>
              <w:rPr>
                <w:rFonts w:ascii="Arial" w:hAnsi="Arial" w:cs="Arial"/>
                <w:sz w:val="22"/>
                <w:szCs w:val="22"/>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V. </w:t>
            </w:r>
            <w:r>
              <w:rPr>
                <w:rFonts w:ascii="Arial" w:hAnsi="Arial" w:cs="Arial"/>
                <w:b/>
                <w:bCs/>
              </w:rPr>
              <w:tab/>
            </w:r>
            <w:r>
              <w:rPr>
                <w:rFonts w:ascii="Arial" w:hAnsi="Arial" w:cs="Arial"/>
              </w:rPr>
              <w:t>Se exceptúa a la Empresa Azucarera San Buenaventura (EASBA) de los efectos y alcance de la aplicación de los Artículos 33 y 35 de la Ley N° 2042 de 21 de diciembre de 1999 de Adm</w:t>
            </w:r>
            <w:r>
              <w:rPr>
                <w:rFonts w:ascii="Arial" w:hAnsi="Arial" w:cs="Arial"/>
              </w:rPr>
              <w:t xml:space="preserve">inistración Presupuestaria. </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VI.</w:t>
            </w:r>
            <w:r>
              <w:rPr>
                <w:rFonts w:ascii="Arial" w:hAnsi="Arial" w:cs="Arial"/>
              </w:rPr>
              <w:t xml:space="preserve"> </w:t>
            </w:r>
            <w:r>
              <w:rPr>
                <w:rFonts w:ascii="Arial" w:hAnsi="Arial" w:cs="Arial"/>
              </w:rPr>
              <w:tab/>
              <w:t>El Ministerio de Desarrollo Productivo y Economía Plural, mediante Resolución Ministerial, deberá justificar ante el Banco Central de Bolivia (BCB), que el uso y destino de los recursos del crédito a ser adquirido por la</w:t>
            </w:r>
            <w:r>
              <w:rPr>
                <w:rFonts w:ascii="Arial" w:hAnsi="Arial" w:cs="Arial"/>
              </w:rPr>
              <w:t xml:space="preserve"> Empresa Azucarera San Buenaventura (EASBA) son de prioridad nacional en el marco del Plan Nacional de Desarrollo y que los flujos futuros serán utilizados para el pago del crédito señalado en el presente Artículo.</w:t>
            </w:r>
          </w:p>
          <w:p w:rsidR="00000000" w:rsidRDefault="002967CD">
            <w:pPr>
              <w:pStyle w:val="NormalWeb"/>
              <w:divId w:val="1691681184"/>
              <w:rPr>
                <w:rFonts w:ascii="Arial" w:hAnsi="Arial" w:cs="Arial"/>
                <w:sz w:val="17"/>
                <w:szCs w:val="17"/>
              </w:rPr>
            </w:pPr>
            <w:r>
              <w:rPr>
                <w:rFonts w:ascii="Arial" w:hAnsi="Arial" w:cs="Arial"/>
                <w:sz w:val="22"/>
                <w:szCs w:val="22"/>
              </w:rPr>
              <w:t> </w:t>
            </w:r>
          </w:p>
          <w:p w:rsidR="00000000" w:rsidRDefault="002967CD">
            <w:pPr>
              <w:pStyle w:val="NormalWeb"/>
              <w:ind w:firstLine="840"/>
              <w:divId w:val="1691681184"/>
              <w:rPr>
                <w:rFonts w:ascii="Arial" w:hAnsi="Arial" w:cs="Arial"/>
                <w:sz w:val="17"/>
                <w:szCs w:val="17"/>
              </w:rPr>
            </w:pPr>
            <w:r>
              <w:rPr>
                <w:rFonts w:ascii="Arial" w:hAnsi="Arial" w:cs="Arial"/>
                <w:b/>
                <w:bCs/>
              </w:rPr>
              <w:t>Artículo 20. (EXTINCIÓN DEL FIDEICOMISO</w:t>
            </w:r>
            <w:r>
              <w:rPr>
                <w:rFonts w:ascii="Arial" w:hAnsi="Arial" w:cs="Arial"/>
                <w:b/>
                <w:bCs/>
              </w:rPr>
              <w:t xml:space="preserve"> OTORGADO A FAVOR DE LA EMPRESA AZUCARERA SAN BUENAVENTURA - EASBA).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Se autoriza a la Empresa Azucarera San Buenaventura (EASBA) a reembolsar al Ministerio de Economía y Finanzas Pú</w:t>
            </w:r>
            <w:r>
              <w:rPr>
                <w:rFonts w:ascii="Arial" w:hAnsi="Arial" w:cs="Arial"/>
              </w:rPr>
              <w:t>blicas, los recursos transmitidos por esta Cartera de Estado en el marco de la Disposición Final Tercera del Decreto Supremo N° 772 de 19 de enero de 2011, con recursos provenientes y autorizados en el Artículo 9 de la Ley N° 50 de 9 de octubre de 2010.</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Se autoriza a la Empresa Azucarera San Buenaventura (EASBA) solicitar un desembolso en el marco del crédito otorgado por el Banco Central de Bolivia (BCB), con el propósito de reembolsar al Ministerio de Economía y Finanzas Públicas (MEFP),los recurso</w:t>
            </w:r>
            <w:r>
              <w:rPr>
                <w:rFonts w:ascii="Arial" w:hAnsi="Arial" w:cs="Arial"/>
              </w:rPr>
              <w:t>s previstos en la Disposición Final Tercera del Decreto Supremo Nº 772 de 19 de enero de 2011, para lo cual, se determina la ampliación del objeto, uso y finalidad de los fondos provenientes y autorizados en el Artículo 9 de la Ley Nº 50 de 9 de octubre de</w:t>
            </w:r>
            <w:r>
              <w:rPr>
                <w:rFonts w:ascii="Arial" w:hAnsi="Arial" w:cs="Arial"/>
              </w:rPr>
              <w:t xml:space="preserve"> 2010. A este efecto el Banco Central de Bolivia y la Empresa Azucarera San Buenaventura suscribirán la adenda correspondiente.</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III.</w:t>
            </w:r>
            <w:r>
              <w:rPr>
                <w:rFonts w:ascii="Arial" w:hAnsi="Arial" w:cs="Arial"/>
              </w:rPr>
              <w:t xml:space="preserve"> </w:t>
            </w:r>
            <w:r>
              <w:rPr>
                <w:rFonts w:ascii="Arial" w:hAnsi="Arial" w:cs="Arial"/>
              </w:rPr>
              <w:tab/>
              <w:t>Efectuado el reembolso de los recursos del fideicomiso autorizado por la Disposición Final Tercera del Decreto Supremo N</w:t>
            </w:r>
            <w:r>
              <w:rPr>
                <w:rFonts w:ascii="Arial" w:hAnsi="Arial" w:cs="Arial"/>
              </w:rPr>
              <w:t xml:space="preserve">° 772 de 19 de enero de 2011, se procederá a la extinción del mismo conforme a las condiciones contractuales y operativas establecidas en los instrumentos legales correspondientes.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Artículo 21. (TRANSFERENCIA EXTRAORDINARIA DE RECURSOS A GOBIERNOS AUTÓN</w:t>
            </w:r>
            <w:r>
              <w:rPr>
                <w:rFonts w:ascii="Arial" w:hAnsi="Arial" w:cs="Arial"/>
                <w:b/>
                <w:bCs/>
              </w:rPr>
              <w:t xml:space="preserve">OMOS DEPARTAMENTALES). </w:t>
            </w:r>
            <w:r>
              <w:rPr>
                <w:rFonts w:ascii="Arial" w:hAnsi="Arial" w:cs="Arial"/>
              </w:rPr>
              <w:t>Para garantizar el funcionamiento y/o inversiones de los Gobiernos Autónomos Departamentales en la gestión 2012, se autoriza al Órgano Ejecutivo, transferir recursos de manera extraordinaria, a aquellas (ex Prefecturas) Gobernaciones</w:t>
            </w:r>
            <w:r>
              <w:rPr>
                <w:rFonts w:ascii="Arial" w:hAnsi="Arial" w:cs="Arial"/>
              </w:rPr>
              <w:t xml:space="preserve"> cuyos ingresos aprobados en la gestión 2008, por concepto de Impuesto Especial a los Hidrocarburos y sus Derivados (IEHD) y Fondo Compensatorio Departamental (FCD), que hayan representado más del 50% del total de sus ingresos por Regalías Mineras e Hidroc</w:t>
            </w:r>
            <w:r>
              <w:rPr>
                <w:rFonts w:ascii="Arial" w:hAnsi="Arial" w:cs="Arial"/>
              </w:rPr>
              <w:t xml:space="preserve">arburíferas, FCD, IEHD e IDH. </w:t>
            </w:r>
          </w:p>
          <w:p w:rsidR="00000000" w:rsidRDefault="002967CD">
            <w:pPr>
              <w:pStyle w:val="NormalWeb"/>
              <w:ind w:firstLine="840"/>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22. (RECURSOS QUE FINANCIAN LOS ESTABLECIMIENTOS DE TERCER NIVEL DE SALUD). </w:t>
            </w:r>
          </w:p>
          <w:p w:rsidR="00000000" w:rsidRDefault="002967CD">
            <w:pPr>
              <w:pStyle w:val="NormalWeb"/>
              <w:ind w:firstLine="840"/>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Se autoriza al Órgano Ejecutivo a través del Ministerio de Economía y Finanzas Públicas (MEFP), incorporar previa evaluación, en el</w:t>
            </w:r>
            <w:r>
              <w:rPr>
                <w:rFonts w:ascii="Arial" w:hAnsi="Arial" w:cs="Arial"/>
              </w:rPr>
              <w:t xml:space="preserve"> Presupuesto General del Estado 2012, los presupuestos institucionales de ingresos y gastos de los Gobiernos Autónomos Departamentales, destinados al funcionamiento, así como los gastos en medicamentos, insumos, equipos y demás suministros, de los establec</w:t>
            </w:r>
            <w:r>
              <w:rPr>
                <w:rFonts w:ascii="Arial" w:hAnsi="Arial" w:cs="Arial"/>
              </w:rPr>
              <w:t>imientos de tercer nivel de atención en salud, que se encuentran bajo su jurisdicción, a objeto de garantizar la continuidad del servicio.</w:t>
            </w:r>
          </w:p>
          <w:p w:rsidR="00000000" w:rsidRDefault="002967CD">
            <w:pPr>
              <w:pStyle w:val="NormalWeb"/>
              <w:ind w:left="840" w:hanging="840"/>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Excepcionalmente, los Gobiernos Autónomos Municipales de La Paz, Santa Cruz de la Sierra y Cochabamba, deberán</w:t>
            </w:r>
            <w:r>
              <w:rPr>
                <w:rFonts w:ascii="Arial" w:hAnsi="Arial" w:cs="Arial"/>
              </w:rPr>
              <w:t xml:space="preserve"> asignar los recursos necesarios para garantizar el funcionamiento, así como gastos en medicamentos, insumos, equipos y demás suministros, de los establecimientos de tercer nivel de atención en salud, que se encuentren bajo su jurisdicción, mientras conclu</w:t>
            </w:r>
            <w:r>
              <w:rPr>
                <w:rFonts w:ascii="Arial" w:hAnsi="Arial" w:cs="Arial"/>
              </w:rPr>
              <w:t>ya el proceso de transferencia del ejercicio competencial en estos Municipios; para lo cual se autoriza al Órgano Ejecutivo a través del Ministerio de Economía y Finanzas Públicas (MEFP), incorporar en el Presupuesto General del Estado – PGE 2012, previa e</w:t>
            </w:r>
            <w:r>
              <w:rPr>
                <w:rFonts w:ascii="Arial" w:hAnsi="Arial" w:cs="Arial"/>
              </w:rPr>
              <w:t>valuación, los presupuestos institucionales de ingresos y gastos de los mencionados municipios.</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23. (FINANCIAMIENTO PARA PROCESOS ELECTORALES POR INTERRUPCIÓN EN MANDATO). </w:t>
            </w:r>
            <w:r>
              <w:rPr>
                <w:rFonts w:ascii="Arial" w:hAnsi="Arial" w:cs="Arial"/>
              </w:rPr>
              <w:t>El financiamiento para procesos electorales de Entidades Territoriales Au</w:t>
            </w:r>
            <w:r>
              <w:rPr>
                <w:rFonts w:ascii="Arial" w:hAnsi="Arial" w:cs="Arial"/>
              </w:rPr>
              <w:t>tónomas, al margen del calendario electoral expresamente aprobado por Ley, deberá ser asumido económicamente por las entidades involucradas, en el marco del Artículo 208 de la Constitución Política del Estado.</w:t>
            </w:r>
          </w:p>
          <w:p w:rsidR="00000000" w:rsidRDefault="002967CD">
            <w:pPr>
              <w:pStyle w:val="NormalWeb"/>
              <w:ind w:firstLine="840"/>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Artículo 24. (LIQUIDACIÓN DE LOS EX ENTES GE</w:t>
            </w:r>
            <w:r>
              <w:rPr>
                <w:rFonts w:ascii="Arial" w:hAnsi="Arial" w:cs="Arial"/>
                <w:b/>
                <w:bCs/>
              </w:rPr>
              <w:t xml:space="preserve">STORES DE LA SEGURIDAD SOCIAL). </w:t>
            </w:r>
          </w:p>
          <w:p w:rsidR="00000000" w:rsidRDefault="002967CD">
            <w:pPr>
              <w:pStyle w:val="NormalWeb"/>
              <w:ind w:firstLine="840"/>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Los ex Entes Gestores de la Seguridad Social que administraban los seguros de Invalidez, Vejez, Jubilación, Muerte y Riesgos Profesionales a largo plazo del antiguo Sistema de Reparto, que actualmente se encuentran ba</w:t>
            </w:r>
            <w:r>
              <w:rPr>
                <w:rFonts w:ascii="Arial" w:hAnsi="Arial" w:cs="Arial"/>
              </w:rPr>
              <w:t>jo administración del Estado Plurinacional, mantendrán su personalidad jurídica sólo a efectos de su cierre y liquidación.</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w:t>
            </w:r>
            <w:r>
              <w:rPr>
                <w:rFonts w:ascii="Arial" w:hAnsi="Arial" w:cs="Arial"/>
              </w:rPr>
              <w:t> </w:t>
            </w:r>
            <w:r>
              <w:rPr>
                <w:rFonts w:ascii="Arial" w:hAnsi="Arial" w:cs="Arial"/>
              </w:rPr>
              <w:tab/>
              <w:t>El proceso de cierre y liquidación de los ex Entes Gestores de la Seguridad Social se encontrará a cargo del Liquidador design</w:t>
            </w:r>
            <w:r>
              <w:rPr>
                <w:rFonts w:ascii="Arial" w:hAnsi="Arial" w:cs="Arial"/>
              </w:rPr>
              <w:t>ado por la Máxima Autoridad Ejecutiva del Ministerio de Economía y Finanzas Públicas (MEFP).</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25. (CONCILIACIÓN DE DEUDAS DE ENTIDADES PÚBLICAS CON EL TESORO GENERAL DE LA NACIÓN).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El Ministerio de Economía y Finanzas Públicas (MEFP), a tr</w:t>
            </w:r>
            <w:r>
              <w:rPr>
                <w:rFonts w:ascii="Arial" w:hAnsi="Arial" w:cs="Arial"/>
              </w:rPr>
              <w:t>avés del Viceministerio del Tesoro y Crédito Público deberá iniciar un proceso de conciliación con las entidades públicas que mantienen deudas impagas de gestiones anteriores registradas en la cartera del Tesoro General de la Nación debiendo contar al efec</w:t>
            </w:r>
            <w:r>
              <w:rPr>
                <w:rFonts w:ascii="Arial" w:hAnsi="Arial" w:cs="Arial"/>
              </w:rPr>
              <w:t xml:space="preserve">to con informes técnicos, legales y otros documentos de respaldo, autorizándose a las entidades públicas deudoras conciliar con dicha Cartera de Estado. </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divId w:val="1691681184"/>
              <w:rPr>
                <w:rFonts w:ascii="Arial" w:hAnsi="Arial" w:cs="Arial"/>
                <w:sz w:val="17"/>
                <w:szCs w:val="17"/>
              </w:rPr>
            </w:pPr>
            <w:r>
              <w:rPr>
                <w:rFonts w:ascii="Arial" w:hAnsi="Arial" w:cs="Arial"/>
              </w:rPr>
              <w:t>El proceso de conciliación deberá incluir entre otros aspectos, la suscripció</w:t>
            </w:r>
            <w:r>
              <w:rPr>
                <w:rFonts w:ascii="Arial" w:hAnsi="Arial" w:cs="Arial"/>
              </w:rPr>
              <w:t>n de un Convenio de Reconocimiento de Deuda a concretizarse en un plazo no mayor a 10 meses a partir de la vigencia del reglamento descrito en el Parágrafo V del presente Artículo, que determine montos, plazos y otros aspectos concernientes a la recuperaci</w:t>
            </w:r>
            <w:r>
              <w:rPr>
                <w:rFonts w:ascii="Arial" w:hAnsi="Arial" w:cs="Arial"/>
              </w:rPr>
              <w:t xml:space="preserve">ón de recursos públicos. </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En caso de que las entidades públicas no respondieren o no concretaren las gestiones de conciliación dentro del plazo previsto en el Parágrafo precedente se autoriza previo informe técnico y legal del Viceministerio del Tes</w:t>
            </w:r>
            <w:r>
              <w:rPr>
                <w:rFonts w:ascii="Arial" w:hAnsi="Arial" w:cs="Arial"/>
              </w:rPr>
              <w:t>oro y Crédito Público, y de conformidad de su Máxima Autoridad Ejecutiva, a debitar de las cuentas corrientes fiscales de las entidades públicas deudoras, los montos que permitan recuperar las deudas que mantienen las mismas con el Tesoro General de la Nac</w:t>
            </w:r>
            <w:r>
              <w:rPr>
                <w:rFonts w:ascii="Arial" w:hAnsi="Arial" w:cs="Arial"/>
              </w:rPr>
              <w:t>ión (TGN).</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III.</w:t>
            </w:r>
            <w:r>
              <w:rPr>
                <w:rFonts w:ascii="Arial" w:hAnsi="Arial" w:cs="Arial"/>
              </w:rPr>
              <w:t xml:space="preserve"> </w:t>
            </w:r>
            <w:r>
              <w:rPr>
                <w:rFonts w:ascii="Arial" w:hAnsi="Arial" w:cs="Arial"/>
              </w:rPr>
              <w:tab/>
              <w:t>Se autoriza al Ministerio de Economía y Finanzas Públicas (MEFP) y sólo en caso de suscripción del Convenio de Reconocimiento de deuda a condonar los intereses devengados no pagados que se hubieran generado hasta el momento de la suscrip</w:t>
            </w:r>
            <w:r>
              <w:rPr>
                <w:rFonts w:ascii="Arial" w:hAnsi="Arial" w:cs="Arial"/>
              </w:rPr>
              <w:t>ción del mencionado convenio por las entidades públicas deudoras.</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IV.</w:t>
            </w:r>
            <w:r>
              <w:rPr>
                <w:rFonts w:ascii="Arial" w:hAnsi="Arial" w:cs="Arial"/>
              </w:rPr>
              <w:t xml:space="preserve"> </w:t>
            </w:r>
            <w:r>
              <w:rPr>
                <w:rFonts w:ascii="Arial" w:hAnsi="Arial" w:cs="Arial"/>
              </w:rPr>
              <w:tab/>
              <w:t>La condonación de intereses señalados en el Parágrafo anterior, será aplicable también en aquellos casos en los que a la fecha el Viceministerio del Tesoro y Crédito Público realiza d</w:t>
            </w:r>
            <w:r>
              <w:rPr>
                <w:rFonts w:ascii="Arial" w:hAnsi="Arial" w:cs="Arial"/>
              </w:rPr>
              <w:t xml:space="preserve">ébitos automáticos a entidades públicas deudoras, siempre y cuando se suscriba el correspondiente Convenio de Reconocimiento de Deuda. </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V. </w:t>
            </w:r>
            <w:r>
              <w:rPr>
                <w:rFonts w:ascii="Arial" w:hAnsi="Arial" w:cs="Arial"/>
                <w:b/>
                <w:bCs/>
              </w:rPr>
              <w:tab/>
            </w:r>
            <w:r>
              <w:rPr>
                <w:rFonts w:ascii="Arial" w:hAnsi="Arial" w:cs="Arial"/>
              </w:rPr>
              <w:t>El presente artículo deberá ser reglamentado por el Órgano Ejecutivo en un plazo no mayor a 60 días a partir de la</w:t>
            </w:r>
            <w:r>
              <w:rPr>
                <w:rFonts w:ascii="Arial" w:hAnsi="Arial" w:cs="Arial"/>
              </w:rPr>
              <w:t xml:space="preserve"> vigencia de la presente Ley.</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26. (DÉBITO AUTOMÁTICO).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Se autoriza al Ministerio de Economía y Finanzas Públicas (MEFP), realizar débitos automáticos a favor de las entidades beneficiarias o ejecutoras de programas y proyectos, cuando ést</w:t>
            </w:r>
            <w:r>
              <w:rPr>
                <w:rFonts w:ascii="Arial" w:hAnsi="Arial" w:cs="Arial"/>
              </w:rPr>
              <w:t>as lo soliciten, con el objeto de garantizar el cumplimiento de las obligaciones y competencias asignadas a las entidades públicas, conforme a normativa vigente; así como por daños ocasionados al Patrimonio Estatal.</w:t>
            </w:r>
          </w:p>
          <w:p w:rsidR="00000000" w:rsidRDefault="002967CD">
            <w:pPr>
              <w:pStyle w:val="NormalWeb"/>
              <w:ind w:left="840" w:hanging="840"/>
              <w:divId w:val="1691681184"/>
              <w:rPr>
                <w:rFonts w:ascii="Arial" w:hAnsi="Arial" w:cs="Arial"/>
                <w:sz w:val="17"/>
                <w:szCs w:val="17"/>
              </w:rPr>
            </w:pPr>
            <w:r>
              <w:rPr>
                <w:rFonts w:ascii="Arial" w:hAnsi="Arial" w:cs="Arial"/>
                <w:b/>
                <w:bCs/>
              </w:rPr>
              <w:t> </w:t>
            </w:r>
          </w:p>
          <w:p w:rsidR="00000000" w:rsidRDefault="002967CD">
            <w:pPr>
              <w:divId w:val="1691681184"/>
              <w:rPr>
                <w:rFonts w:ascii="Arial" w:eastAsia="Times New Roman" w:hAnsi="Arial" w:cs="Arial"/>
                <w:sz w:val="17"/>
                <w:szCs w:val="17"/>
              </w:rPr>
            </w:pPr>
            <w:r>
              <w:rPr>
                <w:rFonts w:ascii="Arial" w:eastAsia="Times New Roman" w:hAnsi="Arial" w:cs="Arial"/>
                <w:sz w:val="17"/>
                <w:szCs w:val="17"/>
              </w:rPr>
              <w:t> </w:t>
            </w:r>
          </w:p>
          <w:p w:rsidR="00000000" w:rsidRDefault="002967CD">
            <w:pPr>
              <w:pStyle w:val="NormalWeb"/>
              <w:ind w:left="840" w:hanging="840"/>
              <w:divId w:val="169168118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Se autoriza al Ministerio de Ec</w:t>
            </w:r>
            <w:r>
              <w:rPr>
                <w:rFonts w:ascii="Arial" w:hAnsi="Arial" w:cs="Arial"/>
              </w:rPr>
              <w:t>onomía y Finanzas Públicas (MEFP), debitar cuatrimestralmente de las cuentas fiscales de las entidades públicas, los recursos adicionales desembolsados para gastos específicos, con fuente y organismo (10-111) y (41-111) del Tesoro General de la Nación, los</w:t>
            </w:r>
            <w:r>
              <w:rPr>
                <w:rFonts w:ascii="Arial" w:hAnsi="Arial" w:cs="Arial"/>
              </w:rPr>
              <w:t xml:space="preserve"> cuales no fueron comprometidos, ni devengados de acuerdo a programación establecida; debiéndose realizar las afectaciones presupuestarias que correspondan, para su consolidación en el presupuesto del Tesoro General de la Nación y la transferencia al Progr</w:t>
            </w:r>
            <w:r>
              <w:rPr>
                <w:rFonts w:ascii="Arial" w:hAnsi="Arial" w:cs="Arial"/>
              </w:rPr>
              <w:t>ama “Bolivia Cambia”. Esta disposición no aplica a contrataciones en proyectos de inversión que se encuentren publicados en el SICOES.</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III.</w:t>
            </w:r>
            <w:r>
              <w:rPr>
                <w:rFonts w:ascii="Arial" w:hAnsi="Arial" w:cs="Arial"/>
              </w:rPr>
              <w:t xml:space="preserve"> </w:t>
            </w:r>
            <w:r>
              <w:rPr>
                <w:rFonts w:ascii="Arial" w:hAnsi="Arial" w:cs="Arial"/>
              </w:rPr>
              <w:tab/>
              <w:t>Se autoriza al Ministerio de Economía y Finanzas Públicas (MEFP), efectuar el débito automático a las entidades p</w:t>
            </w:r>
            <w:r>
              <w:rPr>
                <w:rFonts w:ascii="Arial" w:hAnsi="Arial" w:cs="Arial"/>
              </w:rPr>
              <w:t>úblicas que perciban ingresos que no son de su competencia de acuerdo a normativa vigente. El débito se lo realizará previa justificación técnica y legal, y a solicitud de la entidad afectada, para posterior evaluación del Ministerio de Economía y Finanzas</w:t>
            </w:r>
            <w:r>
              <w:rPr>
                <w:rFonts w:ascii="Arial" w:hAnsi="Arial" w:cs="Arial"/>
              </w:rPr>
              <w:t xml:space="preserve"> Públicas (MEFP).</w:t>
            </w:r>
          </w:p>
          <w:p w:rsidR="00000000" w:rsidRDefault="002967CD">
            <w:pPr>
              <w:pStyle w:val="NormalWeb"/>
              <w:ind w:left="840" w:hanging="840"/>
              <w:divId w:val="1691681184"/>
              <w:rPr>
                <w:rFonts w:ascii="Arial" w:hAnsi="Arial" w:cs="Arial"/>
                <w:sz w:val="17"/>
                <w:szCs w:val="17"/>
              </w:rPr>
            </w:pPr>
            <w:r>
              <w:rPr>
                <w:rFonts w:ascii="Arial" w:hAnsi="Arial" w:cs="Arial"/>
                <w:u w:val="single"/>
              </w:rPr>
              <w:t> </w:t>
            </w:r>
          </w:p>
          <w:p w:rsidR="00000000" w:rsidRDefault="002967CD">
            <w:pPr>
              <w:pStyle w:val="NormalWeb"/>
              <w:ind w:left="840" w:hanging="840"/>
              <w:divId w:val="1691681184"/>
              <w:rPr>
                <w:rFonts w:ascii="Arial" w:hAnsi="Arial" w:cs="Arial"/>
                <w:sz w:val="17"/>
                <w:szCs w:val="17"/>
              </w:rPr>
            </w:pPr>
            <w:r>
              <w:rPr>
                <w:rFonts w:ascii="Arial" w:hAnsi="Arial" w:cs="Arial"/>
                <w:b/>
                <w:bCs/>
              </w:rPr>
              <w:t>IV.</w:t>
            </w:r>
            <w:r>
              <w:rPr>
                <w:rFonts w:ascii="Arial" w:hAnsi="Arial" w:cs="Arial"/>
              </w:rPr>
              <w:t xml:space="preserve"> </w:t>
            </w:r>
            <w:r>
              <w:rPr>
                <w:rFonts w:ascii="Arial" w:hAnsi="Arial" w:cs="Arial"/>
              </w:rPr>
              <w:tab/>
              <w:t>Se autoriza al Ministerio de Economía y Finanzas Públicas (MEFP), debitar cuatrimestralmente de las cuentas fiscales de las entidades públicas, los recursos no comprometidos, ni devengados con fuente y organismo (10-111) y (41-111)</w:t>
            </w:r>
            <w:r>
              <w:rPr>
                <w:rFonts w:ascii="Arial" w:hAnsi="Arial" w:cs="Arial"/>
              </w:rPr>
              <w:t xml:space="preserve"> Tesoro General de la Nación. Estos recursos serán reasignados presupuestaria y financieramente al Programa “Bolivia Cambia”, autorizándose a las entidades beneficiarias del Programa, ejecutar los recursos mediante la modalidad de contratación directa de b</w:t>
            </w:r>
            <w:r>
              <w:rPr>
                <w:rFonts w:ascii="Arial" w:hAnsi="Arial" w:cs="Arial"/>
              </w:rPr>
              <w:t>ienes y servicios. Esta disposición no aplica a proyectos de inversión que se encuentren publicados en el SICOES.</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V. </w:t>
            </w:r>
            <w:r>
              <w:rPr>
                <w:rFonts w:ascii="Arial" w:hAnsi="Arial" w:cs="Arial"/>
                <w:b/>
                <w:bCs/>
              </w:rPr>
              <w:tab/>
            </w:r>
            <w:r>
              <w:rPr>
                <w:rFonts w:ascii="Arial" w:hAnsi="Arial" w:cs="Arial"/>
              </w:rPr>
              <w:t>Se autoriza al Ministerio de Economía y Finanzas Públicas (MEFP), efectuar débitos automáticos a favor de los Gobiernos Autónomos Munici</w:t>
            </w:r>
            <w:r>
              <w:rPr>
                <w:rFonts w:ascii="Arial" w:hAnsi="Arial" w:cs="Arial"/>
              </w:rPr>
              <w:t>pales afectados por la aplicación de nuevos factores de distribución, aprobados por el Ministerio de Autonomía, previa conciliación entre los municipios involucrados y a solicitud del municipio beneficiario, canalizado a través del referido Ministerio.</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27. (CRÉDITO INTERNO DEL BANCO CENTRAL DE BOLIVIA – BCB, A FAVOR DE LA EMPRESA NACIONAL DE ELECTRICIDAD – ENDE). </w:t>
            </w:r>
          </w:p>
          <w:p w:rsidR="00000000" w:rsidRDefault="002967CD">
            <w:pPr>
              <w:pStyle w:val="NormalWeb"/>
              <w:ind w:firstLine="840"/>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Se amplía durante la Gestión Fiscal 2012, la vigencia del Artículo 8 de la Ley N° 50, modificado por el Artículo 13 de la Ley N</w:t>
            </w:r>
            <w:r>
              <w:rPr>
                <w:rFonts w:ascii="Arial" w:hAnsi="Arial" w:cs="Arial"/>
              </w:rPr>
              <w:t>° 62, respecto de los recursos del crédito autorizado a favor de la Empresa Nacional de Electricidad (ENDE), que no hubieran sido comprometidos hasta el 31 de diciembre de 2011.</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A este efecto, se exceptúa a la Empresa Nacional de Electricidad (ENDE)</w:t>
            </w:r>
            <w:r>
              <w:rPr>
                <w:rFonts w:ascii="Arial" w:hAnsi="Arial" w:cs="Arial"/>
              </w:rPr>
              <w:t>, de la aplicación de los Artículos 33 y 35 de la Ley Nº 2042 de Administración Presupuestaria y se mantiene vigente la Disposición Adicional Sexta de la Ley N° 111.</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III.</w:t>
            </w:r>
            <w:r>
              <w:rPr>
                <w:rFonts w:ascii="Arial" w:hAnsi="Arial" w:cs="Arial"/>
              </w:rPr>
              <w:t xml:space="preserve"> </w:t>
            </w:r>
            <w:r>
              <w:rPr>
                <w:rFonts w:ascii="Arial" w:hAnsi="Arial" w:cs="Arial"/>
              </w:rPr>
              <w:tab/>
              <w:t>Se autoriza al Ministerio de Economía y Finanzas Públicas a través del Tesoro Gene</w:t>
            </w:r>
            <w:r>
              <w:rPr>
                <w:rFonts w:ascii="Arial" w:hAnsi="Arial" w:cs="Arial"/>
              </w:rPr>
              <w:t>ral de la Nación (TGN), emitir y otorgar Bonos del Tesoro No Negociables a favor del Banco Central de Bolivia (BCB)</w:t>
            </w:r>
            <w:r>
              <w:rPr>
                <w:rFonts w:ascii="Arial" w:hAnsi="Arial" w:cs="Arial"/>
                <w:b/>
                <w:bCs/>
              </w:rPr>
              <w:t xml:space="preserve">, </w:t>
            </w:r>
            <w:r>
              <w:rPr>
                <w:rFonts w:ascii="Arial" w:hAnsi="Arial" w:cs="Arial"/>
              </w:rPr>
              <w:t>para garantizar el crédito mencionado en el Parágrafo I, a solicitud escrita del Ministerio cabeza de sector y en forma conjunta con el Ban</w:t>
            </w:r>
            <w:r>
              <w:rPr>
                <w:rFonts w:ascii="Arial" w:hAnsi="Arial" w:cs="Arial"/>
              </w:rPr>
              <w:t>co Central de Bolivia (BCB).</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28. (EMISIÓN DE TÍTULOS VALOR).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Se autoriza a las Empresas Públicas Estratégicas y aquellas donde el Estado tenga mayoría accionaria, emitir títulos valor de acuerdo a sus ingresos futuros.</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La emisió</w:t>
            </w:r>
            <w:r>
              <w:rPr>
                <w:rFonts w:ascii="Arial" w:hAnsi="Arial" w:cs="Arial"/>
              </w:rPr>
              <w:t>n de títulos valor, será autorizada mediante Decreto Supremo específico.</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III.</w:t>
            </w:r>
            <w:r>
              <w:rPr>
                <w:rFonts w:ascii="Arial" w:hAnsi="Arial" w:cs="Arial"/>
              </w:rPr>
              <w:t xml:space="preserve"> </w:t>
            </w:r>
            <w:r>
              <w:rPr>
                <w:rFonts w:ascii="Arial" w:hAnsi="Arial" w:cs="Arial"/>
              </w:rPr>
              <w:tab/>
              <w:t xml:space="preserve">Se exceptúa del cumplimiento de los Artículos 33 y 35 de la Ley Nº 2042 a las Empresas Públicas Estratégicas creadas en las gestiones 2010 y 2011. </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IV.</w:t>
            </w:r>
            <w:r>
              <w:rPr>
                <w:rFonts w:ascii="Arial" w:hAnsi="Arial" w:cs="Arial"/>
              </w:rPr>
              <w:t xml:space="preserve"> </w:t>
            </w:r>
            <w:r>
              <w:rPr>
                <w:rFonts w:ascii="Arial" w:hAnsi="Arial" w:cs="Arial"/>
              </w:rPr>
              <w:tab/>
              <w:t>Las Empresas Pública</w:t>
            </w:r>
            <w:r>
              <w:rPr>
                <w:rFonts w:ascii="Arial" w:hAnsi="Arial" w:cs="Arial"/>
              </w:rPr>
              <w:t>s Estratégicas podrán emitir títulos valor hasta una vez su patrimonio, demostrando que su flujo de caja futuro es positivo y que generarán indicadores de liquidez y endeudamiento favorables.</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V.</w:t>
            </w:r>
            <w:r>
              <w:rPr>
                <w:rFonts w:ascii="Arial" w:hAnsi="Arial" w:cs="Arial"/>
              </w:rPr>
              <w:t xml:space="preserve"> </w:t>
            </w:r>
            <w:r>
              <w:rPr>
                <w:rFonts w:ascii="Arial" w:hAnsi="Arial" w:cs="Arial"/>
              </w:rPr>
              <w:tab/>
              <w:t>La emisión de títulos valor y el pago del servicio de la d</w:t>
            </w:r>
            <w:r>
              <w:rPr>
                <w:rFonts w:ascii="Arial" w:hAnsi="Arial" w:cs="Arial"/>
              </w:rPr>
              <w:t>euda es de responsabilidad de la Máxima Autoridad Ejecutiva y/o el Directorio de cada emisor.</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VI.</w:t>
            </w:r>
            <w:r>
              <w:rPr>
                <w:rFonts w:ascii="Arial" w:hAnsi="Arial" w:cs="Arial"/>
              </w:rPr>
              <w:t xml:space="preserve"> </w:t>
            </w:r>
            <w:r>
              <w:rPr>
                <w:rFonts w:ascii="Arial" w:hAnsi="Arial" w:cs="Arial"/>
              </w:rPr>
              <w:tab/>
              <w:t xml:space="preserve">Las instancias señaladas en el Parágrafo I deberán remitir información al Ministerio de Economía y Finanzas Públicas sobre sus respectivas emisiones. </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VI</w:t>
            </w:r>
            <w:r>
              <w:rPr>
                <w:rFonts w:ascii="Arial" w:hAnsi="Arial" w:cs="Arial"/>
                <w:b/>
                <w:bCs/>
              </w:rPr>
              <w:t>I.</w:t>
            </w:r>
            <w:r>
              <w:rPr>
                <w:rFonts w:ascii="Arial" w:hAnsi="Arial" w:cs="Arial"/>
              </w:rPr>
              <w:t xml:space="preserve"> </w:t>
            </w:r>
            <w:r>
              <w:rPr>
                <w:rFonts w:ascii="Arial" w:hAnsi="Arial" w:cs="Arial"/>
              </w:rPr>
              <w:tab/>
              <w:t>El Órgano Ejecutivo mediante el Ministerio de Economía y Finanzas Públicas, emitirá la reglamentación que requiera la operativa y aplicación de la emisión de títulos valor, por las Empresas Públicas Estratégicas y aquellas donde el Estado tenga mayoría</w:t>
            </w:r>
            <w:r>
              <w:rPr>
                <w:rFonts w:ascii="Arial" w:hAnsi="Arial" w:cs="Arial"/>
              </w:rPr>
              <w:t xml:space="preserve"> accionaria.</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29. </w:t>
            </w:r>
            <w:r>
              <w:rPr>
                <w:rFonts w:ascii="Arial" w:hAnsi="Arial" w:cs="Arial"/>
                <w:b/>
                <w:bCs/>
                <w:sz w:val="17"/>
                <w:szCs w:val="17"/>
              </w:rPr>
              <w:t>(TRANSFERENCIA EXTRAORDINARIA DE RECURSOS PARA LA EJECUCIÓN DE PROYECTOS DE TELECOMUNICACIONES).</w:t>
            </w:r>
            <w:r>
              <w:rPr>
                <w:rFonts w:ascii="Arial" w:hAnsi="Arial" w:cs="Arial"/>
                <w:b/>
                <w:bCs/>
              </w:rPr>
              <w:t xml:space="preserve"> </w:t>
            </w:r>
            <w:r>
              <w:rPr>
                <w:rFonts w:ascii="Arial" w:hAnsi="Arial" w:cs="Arial"/>
              </w:rPr>
              <w:t>En el marco de las políticas integrales de desarrollo del sector de telecomunicaciones, se autoriza al Ministerio de Obras Públicas</w:t>
            </w:r>
            <w:r>
              <w:rPr>
                <w:rFonts w:ascii="Arial" w:hAnsi="Arial" w:cs="Arial"/>
              </w:rPr>
              <w:t>, Servicios y Vivienda, transferir de los recursos del Programa Nacional de Telecomunicaciones de Inclusión Social (PRONTIS), el 80% (Ochenta por ciento) a favor de la Empresa Nacional de Telecomunicaciones – ENTEL S.A., y el 20 % (Veinte por ciento) a fav</w:t>
            </w:r>
            <w:r>
              <w:rPr>
                <w:rFonts w:ascii="Arial" w:hAnsi="Arial" w:cs="Arial"/>
              </w:rPr>
              <w:t xml:space="preserve">or de Empresa Estatal de Televisión – BOLIVIA TV. </w:t>
            </w:r>
          </w:p>
          <w:p w:rsidR="00000000" w:rsidRDefault="002967CD">
            <w:pPr>
              <w:pStyle w:val="NormalWeb"/>
              <w:ind w:firstLine="840"/>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30. (EMPRESA BOLIVIANA DE CONSTRUCCIÓN). </w:t>
            </w:r>
          </w:p>
          <w:p w:rsidR="00000000" w:rsidRDefault="002967CD">
            <w:pPr>
              <w:pStyle w:val="NormalWeb"/>
              <w:ind w:firstLine="840"/>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Se autoriza al Ministerio de Economía y Finanzas Públicas (MEFP), a través del Tesoro General de la Nación (TGN), emitir y otorgar tí</w:t>
            </w:r>
            <w:r>
              <w:rPr>
                <w:rFonts w:ascii="Arial" w:hAnsi="Arial" w:cs="Arial"/>
              </w:rPr>
              <w:t>tulos valor y/o cualquier otro instrumento para respaldar las garantías que suscriba la Empresa Boliviana de Construcción (EBC) por anticipos que reciba para la ejecución de obras y otros avales de carácter financiero requeridos para el cumplimiento de con</w:t>
            </w:r>
            <w:r>
              <w:rPr>
                <w:rFonts w:ascii="Arial" w:hAnsi="Arial" w:cs="Arial"/>
              </w:rPr>
              <w:t xml:space="preserve">diciones de contratación, hasta un porcentaje equivalente al treinta por ciento (30%) del valor de la obra contratada. </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El Ministerio de Obras Públicas, Servicios y Vivienda comunicará al Ministerio de Economía y Finanzas Públicas (MEFP), los montos</w:t>
            </w:r>
            <w:r>
              <w:rPr>
                <w:rFonts w:ascii="Arial" w:hAnsi="Arial" w:cs="Arial"/>
              </w:rPr>
              <w:t xml:space="preserve"> correspondientes para la respectiva emisión de títulos valor y/o cualquier otro instrumento.</w:t>
            </w:r>
          </w:p>
          <w:p w:rsidR="00000000" w:rsidRDefault="002967CD">
            <w:pPr>
              <w:pStyle w:val="NormalWeb"/>
              <w:ind w:left="840" w:hanging="840"/>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III.</w:t>
            </w:r>
            <w:r>
              <w:rPr>
                <w:rFonts w:ascii="Arial" w:hAnsi="Arial" w:cs="Arial"/>
              </w:rPr>
              <w:t xml:space="preserve"> </w:t>
            </w:r>
            <w:r>
              <w:rPr>
                <w:rFonts w:ascii="Arial" w:hAnsi="Arial" w:cs="Arial"/>
              </w:rPr>
              <w:tab/>
              <w:t>La Máxima Autoridad Ejecutiva de la Empresa Boliviana de Construcción (EBC), es la responsable del uso de los recursos recibidos como anticipo y de la res</w:t>
            </w:r>
            <w:r>
              <w:rPr>
                <w:rFonts w:ascii="Arial" w:hAnsi="Arial" w:cs="Arial"/>
              </w:rPr>
              <w:t>titución de los recursos al Tesoro General de la Nación (TGN) en caso de ejecutarse los títulos valor y/o cualquier otro instrumento, así como del cumplimiento de la relación contractual.</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IV. </w:t>
            </w:r>
            <w:r>
              <w:rPr>
                <w:rFonts w:ascii="Arial" w:hAnsi="Arial" w:cs="Arial"/>
                <w:b/>
                <w:bCs/>
              </w:rPr>
              <w:tab/>
            </w:r>
            <w:r>
              <w:rPr>
                <w:rFonts w:ascii="Arial" w:hAnsi="Arial" w:cs="Arial"/>
              </w:rPr>
              <w:t>El Órgano Ejecutivo reglamentará la aplicación del presente A</w:t>
            </w:r>
            <w:r>
              <w:rPr>
                <w:rFonts w:ascii="Arial" w:hAnsi="Arial" w:cs="Arial"/>
              </w:rPr>
              <w:t xml:space="preserve">rtículo.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31. (RENEGOCIACIÓN DE CONTRATOS COMERCIALES Y DE FINANCIAMIENTO).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I</w:t>
            </w:r>
            <w:r>
              <w:rPr>
                <w:rFonts w:ascii="Arial" w:hAnsi="Arial" w:cs="Arial"/>
              </w:rPr>
              <w:t xml:space="preserve">. </w:t>
            </w:r>
            <w:r>
              <w:rPr>
                <w:rFonts w:ascii="Arial" w:hAnsi="Arial" w:cs="Arial"/>
              </w:rPr>
              <w:tab/>
              <w:t>En consideración a la Ley Nº 180 de 24 de octubre de 2011, se autoriza al Órgano Ejecutivo renegociar los contratos comerciales y de financiamiento suscritos para l</w:t>
            </w:r>
            <w:r>
              <w:rPr>
                <w:rFonts w:ascii="Arial" w:hAnsi="Arial" w:cs="Arial"/>
              </w:rPr>
              <w:t>a construcción de la Carretera Villa Tunari – San Ignacio de Moxos en las condiciones más favorables y menos morosas posibles a favor del Estado.</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El Órgano Ejecutivo mediante Decreto Supremo aprobará las nuevas condiciones que sean acordadas. El mon</w:t>
            </w:r>
            <w:r>
              <w:rPr>
                <w:rFonts w:ascii="Arial" w:hAnsi="Arial" w:cs="Arial"/>
              </w:rPr>
              <w:t>to total de financiamiento aprobado no podrá ser incrementado sin la aprobación de la Asamblea Legislativa Plurinacional.</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III. </w:t>
            </w:r>
            <w:r>
              <w:rPr>
                <w:rFonts w:ascii="Arial" w:hAnsi="Arial" w:cs="Arial"/>
                <w:b/>
                <w:bCs/>
              </w:rPr>
              <w:tab/>
            </w:r>
            <w:r>
              <w:rPr>
                <w:rFonts w:ascii="Arial" w:hAnsi="Arial" w:cs="Arial"/>
              </w:rPr>
              <w:t>Se autoriza al Ministerio de Economía y Finanzas Públicas (MEFP), incorporar en el Presupuesto General del Estado los costos q</w:t>
            </w:r>
            <w:r>
              <w:rPr>
                <w:rFonts w:ascii="Arial" w:hAnsi="Arial" w:cs="Arial"/>
              </w:rPr>
              <w:t>ue impliquen la renegociación de los contratos referidos.</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32. (RECURSOS PARA EL PROGRAMA SOLIDARIO COMUNAL DEPARTAMENTAL </w:t>
            </w:r>
            <w:r>
              <w:rPr>
                <w:rFonts w:ascii="Arial" w:hAnsi="Arial" w:cs="Arial"/>
              </w:rPr>
              <w:t>–</w:t>
            </w:r>
            <w:r>
              <w:rPr>
                <w:rFonts w:ascii="Arial" w:hAnsi="Arial" w:cs="Arial"/>
                <w:b/>
                <w:bCs/>
              </w:rPr>
              <w:t>PROSOL)</w:t>
            </w:r>
            <w:r>
              <w:rPr>
                <w:rFonts w:ascii="Arial" w:hAnsi="Arial" w:cs="Arial"/>
              </w:rPr>
              <w:t>. Se autoriza al Órgano Ejecutivo, a través del Ministerio de Economía y Finanzas Públicas (MEFP), previa evaluació</w:t>
            </w:r>
            <w:r>
              <w:rPr>
                <w:rFonts w:ascii="Arial" w:hAnsi="Arial" w:cs="Arial"/>
              </w:rPr>
              <w:t>n, incrementar el Presupuesto General del Estado 2012, de manera extraordinaria y por única vez, recursos provenientes de Saldos de Caja y Bancos en el presupuesto institucional del Gobierno Autónomo Departamental de Tarija, destinados al Programa Solidari</w:t>
            </w:r>
            <w:r>
              <w:rPr>
                <w:rFonts w:ascii="Arial" w:hAnsi="Arial" w:cs="Arial"/>
              </w:rPr>
              <w:t>o Comunal Departamental (PROSOL).</w:t>
            </w:r>
          </w:p>
          <w:p w:rsidR="00000000" w:rsidRDefault="002967CD">
            <w:pPr>
              <w:pStyle w:val="NormalWeb"/>
              <w:ind w:firstLine="840"/>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33. (CRÉDITO INTERNO DEL BANCO CENTRAL DE BOLIVIA A FAVOR DE LA CORPORACIÓN MINERA DE BOLIVIA </w:t>
            </w:r>
            <w:r>
              <w:rPr>
                <w:rFonts w:ascii="Arial" w:hAnsi="Arial" w:cs="Arial"/>
              </w:rPr>
              <w:t xml:space="preserve">– </w:t>
            </w:r>
            <w:r>
              <w:rPr>
                <w:rFonts w:ascii="Arial" w:hAnsi="Arial" w:cs="Arial"/>
                <w:b/>
                <w:bCs/>
              </w:rPr>
              <w:t xml:space="preserve">COMIBOL). </w:t>
            </w:r>
          </w:p>
          <w:p w:rsidR="00000000" w:rsidRDefault="002967CD">
            <w:pPr>
              <w:pStyle w:val="NormalWeb"/>
              <w:ind w:firstLine="840"/>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Se autoriza al Banco Central de Bolivia (BCB), otorgar un crédito extraordinario de hasta Bs5.332.</w:t>
            </w:r>
            <w:r>
              <w:rPr>
                <w:rFonts w:ascii="Arial" w:hAnsi="Arial" w:cs="Arial"/>
              </w:rPr>
              <w:t>050.000.- (Cinco Mil Trescientos Treinta y Dos Millones Cincuenta Mil 00/100 Bolivianos), a favor de la Corporación Minera de Bolivia (COMIBOL), en condiciones concesionales, con el objeto de que su Gerencia Nacional de recursos Evaporíticos invierta en la</w:t>
            </w:r>
            <w:r>
              <w:rPr>
                <w:rFonts w:ascii="Arial" w:hAnsi="Arial" w:cs="Arial"/>
              </w:rPr>
              <w:t xml:space="preserve"> producción e industrialización de carbonato de litio, cloruro de potasio, y otros productos de la cadena evaporítica, ya sea como inversión directa o aporte de capital a través de una asociación con empresas que aporten tecnología, para la fabricación de </w:t>
            </w:r>
            <w:r>
              <w:rPr>
                <w:rFonts w:ascii="Arial" w:hAnsi="Arial" w:cs="Arial"/>
              </w:rPr>
              <w:t>materiales de cátodo, electrolitos y baterías de ion-litio. Para este efecto, se exceptúa al Banco Central de Bolivia (BCB) de la aplicación de los Artículos 22 y 23 de la Ley Nº 1670 de 31 de octubre de 1995.</w:t>
            </w:r>
          </w:p>
          <w:p w:rsidR="00000000" w:rsidRDefault="002967CD">
            <w:pPr>
              <w:pStyle w:val="NormalWeb"/>
              <w:ind w:left="840" w:hanging="840"/>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En el marco del Parágrafo I del present</w:t>
            </w:r>
            <w:r>
              <w:rPr>
                <w:rFonts w:ascii="Arial" w:hAnsi="Arial" w:cs="Arial"/>
              </w:rPr>
              <w:t>e Artículo y de acuerdo a lo establecido por el Numeral 10, Parágrafo I del Artículo 158 y del Artículo 322 de la Constitución Política del Estado, se autoriza a la Corporación Minera de Bolivia (COMIBOL), contratar el crédito referido precedente con el Ba</w:t>
            </w:r>
            <w:r>
              <w:rPr>
                <w:rFonts w:ascii="Arial" w:hAnsi="Arial" w:cs="Arial"/>
              </w:rPr>
              <w:t>nco Central de Bolivia (BCB).</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III. </w:t>
            </w:r>
            <w:r>
              <w:rPr>
                <w:rFonts w:ascii="Arial" w:hAnsi="Arial" w:cs="Arial"/>
                <w:b/>
                <w:bCs/>
              </w:rPr>
              <w:tab/>
            </w:r>
            <w:r>
              <w:rPr>
                <w:rFonts w:ascii="Arial" w:hAnsi="Arial" w:cs="Arial"/>
              </w:rPr>
              <w:t>El Ministerio de Minería y Metalurgia, mediante Resolución Ministerial, deberá justificar ante el Banco Central de Bolivia (BCB), que el uso y destino de los recursos del crédito a ser adquirido por la Corporación Mine</w:t>
            </w:r>
            <w:r>
              <w:rPr>
                <w:rFonts w:ascii="Arial" w:hAnsi="Arial" w:cs="Arial"/>
              </w:rPr>
              <w:t>ra de Bolivia (COMIBOL), son de prioridad nacional en el marco del Plan Nacional de Desarrollo y que los flujos futuros serán utilizados para el pago del crédito señalado en el presente Artículo.</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IV.</w:t>
            </w:r>
            <w:r>
              <w:rPr>
                <w:rFonts w:ascii="Arial" w:hAnsi="Arial" w:cs="Arial"/>
              </w:rPr>
              <w:t xml:space="preserve"> </w:t>
            </w:r>
            <w:r>
              <w:rPr>
                <w:rFonts w:ascii="Arial" w:hAnsi="Arial" w:cs="Arial"/>
              </w:rPr>
              <w:tab/>
              <w:t>Corresponde al Ministerio de Minerí</w:t>
            </w:r>
            <w:r>
              <w:rPr>
                <w:rFonts w:ascii="Arial" w:hAnsi="Arial" w:cs="Arial"/>
              </w:rPr>
              <w:t>a y Metalurgia, la evaluación y seguimiento de los recursos del crédito a ser otorgado por el Banco Central de Bolivia (BCB) a favor de la Corporación Minera de Bolivia (COMIBOL).</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V.</w:t>
            </w:r>
            <w:r>
              <w:rPr>
                <w:rFonts w:ascii="Arial" w:hAnsi="Arial" w:cs="Arial"/>
              </w:rPr>
              <w:t xml:space="preserve"> </w:t>
            </w:r>
            <w:r>
              <w:rPr>
                <w:rFonts w:ascii="Arial" w:hAnsi="Arial" w:cs="Arial"/>
              </w:rPr>
              <w:tab/>
              <w:t>Se autoriza al Ministerio de Economía y Finanzas Públicas (MEFP), a tr</w:t>
            </w:r>
            <w:r>
              <w:rPr>
                <w:rFonts w:ascii="Arial" w:hAnsi="Arial" w:cs="Arial"/>
              </w:rPr>
              <w:t>avés del Tesoro General de la Nación (TGN), emitir y otorgar Bonos del Tesoro No Negociables a favor del Banco Central de Bolivia (BCB), para garantizar el monto del crédito otorgado por dicha entidad a favor de la Corporación Minera de Bolivia (COMIBOL) a</w:t>
            </w:r>
            <w:r>
              <w:rPr>
                <w:rFonts w:ascii="Arial" w:hAnsi="Arial" w:cs="Arial"/>
              </w:rPr>
              <w:t xml:space="preserve"> solicitud escrita del Ministerio cabeza de sector y en forma conjunta con el Banco Central de Bolivia (BCB). </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VI.</w:t>
            </w:r>
            <w:r>
              <w:rPr>
                <w:rFonts w:ascii="Arial" w:hAnsi="Arial" w:cs="Arial"/>
              </w:rPr>
              <w:t xml:space="preserve"> </w:t>
            </w:r>
            <w:r>
              <w:rPr>
                <w:rFonts w:ascii="Arial" w:hAnsi="Arial" w:cs="Arial"/>
              </w:rPr>
              <w:tab/>
              <w:t>Se exceptúa a la Corporación Minera de Bolivia (COMIBOL) de los efectos y alcance de la aplicación de los Artículos 33 y 35 de la Ley Nº 2</w:t>
            </w:r>
            <w:r>
              <w:rPr>
                <w:rFonts w:ascii="Arial" w:hAnsi="Arial" w:cs="Arial"/>
              </w:rPr>
              <w:t>042 de 21 de diciembre de 1999 de Administración Presupuestaria.</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divId w:val="1691681184"/>
              <w:rPr>
                <w:rFonts w:ascii="Arial" w:eastAsia="Times New Roman" w:hAnsi="Arial" w:cs="Arial"/>
                <w:sz w:val="17"/>
                <w:szCs w:val="17"/>
              </w:rPr>
            </w:pPr>
            <w:r>
              <w:rPr>
                <w:rFonts w:ascii="Arial" w:eastAsia="Times New Roman" w:hAnsi="Arial" w:cs="Arial"/>
                <w:sz w:val="17"/>
                <w:szCs w:val="17"/>
              </w:rPr>
              <w:t> </w:t>
            </w:r>
          </w:p>
          <w:p w:rsidR="00000000" w:rsidRDefault="002967CD">
            <w:pPr>
              <w:pStyle w:val="NormalWeb"/>
              <w:ind w:firstLine="840"/>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34. (EMISIÓN DE TÍTULOS VALOR POR YACIMIENTOS PETROLÍFEROS FISCALES BOLIVIANOS).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 xml:space="preserve">Se autoriza a Yacimientos Petrolíferos Fiscales Bolivianos (YPFB), emitir títulos valor </w:t>
            </w:r>
            <w:r>
              <w:rPr>
                <w:rFonts w:ascii="Arial" w:hAnsi="Arial" w:cs="Arial"/>
              </w:rPr>
              <w:t>de acuerdo a sus ingresos futuros.</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La emisión de títulos valor, será autorizada mediante Decreto Supremo específico.</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III. </w:t>
            </w:r>
            <w:r>
              <w:rPr>
                <w:rFonts w:ascii="Arial" w:hAnsi="Arial" w:cs="Arial"/>
                <w:b/>
                <w:bCs/>
              </w:rPr>
              <w:tab/>
            </w:r>
            <w:r>
              <w:rPr>
                <w:rFonts w:ascii="Arial" w:hAnsi="Arial" w:cs="Arial"/>
              </w:rPr>
              <w:t>Yacimientos Petrolíferos Fiscales Bolivianos (YPFB), podrá emitir títulos valor hasta una vez su patrimonio, demostrando que</w:t>
            </w:r>
            <w:r>
              <w:rPr>
                <w:rFonts w:ascii="Arial" w:hAnsi="Arial" w:cs="Arial"/>
              </w:rPr>
              <w:t xml:space="preserve"> su flujo de caja futuro es positivo y que generarán indicadores de liquidez y endeudamiento favorables.</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IV.</w:t>
            </w:r>
            <w:r>
              <w:rPr>
                <w:rFonts w:ascii="Arial" w:hAnsi="Arial" w:cs="Arial"/>
              </w:rPr>
              <w:t xml:space="preserve"> </w:t>
            </w:r>
            <w:r>
              <w:rPr>
                <w:rFonts w:ascii="Arial" w:hAnsi="Arial" w:cs="Arial"/>
              </w:rPr>
              <w:tab/>
              <w:t>La emisión de títulos valor y el pago de servicio de la deuda es de responsabilidad de la Máxima Autoridad Ejecutiva y/o Directorio de Yacimient</w:t>
            </w:r>
            <w:r>
              <w:rPr>
                <w:rFonts w:ascii="Arial" w:hAnsi="Arial" w:cs="Arial"/>
              </w:rPr>
              <w:t>os Petrolíferos Fiscales Bolivianos (YPFB).</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V.</w:t>
            </w:r>
            <w:r>
              <w:rPr>
                <w:rFonts w:ascii="Arial" w:hAnsi="Arial" w:cs="Arial"/>
              </w:rPr>
              <w:t xml:space="preserve"> </w:t>
            </w:r>
            <w:r>
              <w:rPr>
                <w:rFonts w:ascii="Arial" w:hAnsi="Arial" w:cs="Arial"/>
              </w:rPr>
              <w:tab/>
              <w:t>Yacimientos Petrolíferos Fiscales Bolivianos (YPFB), deberá remitir información al Ministerio de Economía y Finanzas Públicas (MEFP), sobre sus respectivas emisiones.</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VI. </w:t>
            </w:r>
            <w:r>
              <w:rPr>
                <w:rFonts w:ascii="Arial" w:hAnsi="Arial" w:cs="Arial"/>
                <w:b/>
                <w:bCs/>
              </w:rPr>
              <w:tab/>
            </w:r>
            <w:r>
              <w:rPr>
                <w:rFonts w:ascii="Arial" w:hAnsi="Arial" w:cs="Arial"/>
              </w:rPr>
              <w:t xml:space="preserve">El Órgano Ejecutivo mediante el </w:t>
            </w:r>
            <w:r>
              <w:rPr>
                <w:rFonts w:ascii="Arial" w:hAnsi="Arial" w:cs="Arial"/>
              </w:rPr>
              <w:t xml:space="preserve">Ministerio de Economía y Finanzas Públicas (MEFP), emitirá la reglamentación que requiera la operativa y aplicación de la emisión de títulos valor, por Yacimientos Petrolíferos Fiscales Bolivianos (YPFB). </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Artículo 35. (AUTORIZACIÓN DE USO DE RECURSOS). </w:t>
            </w:r>
            <w:r>
              <w:rPr>
                <w:rFonts w:ascii="Arial" w:hAnsi="Arial" w:cs="Arial"/>
              </w:rPr>
              <w:t>Se autoriza de manera excepcional al Órgano Ejecutivo a través del Ministerio de Economía y Finanzas Públicas (MEFP), transferir recursos del Tesoro General de la Nación (TGN), a la Asamblea Legislativa Plurinacional en la gestión 2012, correspondientes al</w:t>
            </w:r>
            <w:r>
              <w:rPr>
                <w:rFonts w:ascii="Arial" w:hAnsi="Arial" w:cs="Arial"/>
              </w:rPr>
              <w:t xml:space="preserve"> importe de los saldos presupuestarios institucionales no ejecutados ni comprometidos de la partida 41100 “Edificios”, al cierre de la gestión 2011, de la Vicepresidencia del Estado y la Asamblea Legislativa Plurinacional, para la construcción del nuevo ed</w:t>
            </w:r>
            <w:r>
              <w:rPr>
                <w:rFonts w:ascii="Arial" w:hAnsi="Arial" w:cs="Arial"/>
              </w:rPr>
              <w:t>ificio de la Asamblea Legislativa Plurinacional de Bolivia.</w:t>
            </w:r>
          </w:p>
          <w:p w:rsidR="00000000" w:rsidRDefault="002967CD">
            <w:pPr>
              <w:pStyle w:val="NormalWeb"/>
              <w:ind w:firstLine="840"/>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rPr>
              <w:t>El registro presupuestario del proyecto de inversión incluye Servicios Personales y Consultorías, los cuales deben ser inscritos a través del Viceministerio de Inversión Pú</w:t>
            </w:r>
            <w:r>
              <w:rPr>
                <w:rFonts w:ascii="Arial" w:hAnsi="Arial" w:cs="Arial"/>
              </w:rPr>
              <w:t>blica y Financiamiento Externo dependiente del Ministerio de Planificación del Desarrollo.</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jc w:val="center"/>
              <w:divId w:val="1691681184"/>
              <w:rPr>
                <w:rFonts w:ascii="Arial" w:hAnsi="Arial" w:cs="Arial"/>
                <w:sz w:val="17"/>
                <w:szCs w:val="17"/>
              </w:rPr>
            </w:pPr>
            <w:r>
              <w:rPr>
                <w:rFonts w:ascii="Arial" w:hAnsi="Arial" w:cs="Arial"/>
                <w:b/>
                <w:bCs/>
              </w:rPr>
              <w:t>DISPOSICIONES ADICIONALES</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PRIMERA. </w:t>
            </w:r>
            <w:r>
              <w:rPr>
                <w:rFonts w:ascii="Arial" w:hAnsi="Arial" w:cs="Arial"/>
              </w:rPr>
              <w:t>Se incorpora como segundo párrafo del Artículo 29 de la Ley N° 060, de 25 de noviembre de 2010, de Juegos de Loterí</w:t>
            </w:r>
            <w:r>
              <w:rPr>
                <w:rFonts w:ascii="Arial" w:hAnsi="Arial" w:cs="Arial"/>
              </w:rPr>
              <w:t>a y de Azar, el siguiente texto: “</w:t>
            </w:r>
            <w:r>
              <w:rPr>
                <w:rFonts w:ascii="Arial" w:hAnsi="Arial" w:cs="Arial"/>
                <w:i/>
                <w:iCs/>
              </w:rPr>
              <w:t>La Autoridad de Fiscalización y Control Social del Juego, en cualquier estado del proceso sancionador, podrá adoptar las siguientes medidas preventivas: clausura, intervención o comiso preventivo</w:t>
            </w:r>
            <w:r>
              <w:rPr>
                <w:rFonts w:ascii="Arial" w:hAnsi="Arial" w:cs="Arial"/>
              </w:rPr>
              <w:t>”.</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SEGUNDA.</w:t>
            </w:r>
            <w:r>
              <w:rPr>
                <w:rFonts w:ascii="Arial" w:hAnsi="Arial" w:cs="Arial"/>
              </w:rPr>
              <w:t xml:space="preserve"> La Unidad de </w:t>
            </w:r>
            <w:r>
              <w:rPr>
                <w:rFonts w:ascii="Arial" w:hAnsi="Arial" w:cs="Arial"/>
              </w:rPr>
              <w:t>Investigación Financiera, a requerimiento de la Autoridad de Fiscalización y Control Social del Juego, remitirá la información sobre la legitimación de ganancias ilícitas de cualquier persona sujeta a su control.</w:t>
            </w:r>
          </w:p>
          <w:p w:rsidR="00000000" w:rsidRDefault="002967CD">
            <w:pPr>
              <w:pStyle w:val="NormalWeb"/>
              <w:ind w:firstLine="840"/>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TERCERA. </w:t>
            </w:r>
            <w:r>
              <w:rPr>
                <w:rFonts w:ascii="Arial" w:hAnsi="Arial" w:cs="Arial"/>
              </w:rPr>
              <w:t xml:space="preserve">Se modifica el Artículo 192 bis </w:t>
            </w:r>
            <w:r>
              <w:rPr>
                <w:rFonts w:ascii="Arial" w:hAnsi="Arial" w:cs="Arial"/>
              </w:rPr>
              <w:t>de la Ley N° 2492 de 2 de agosto de 2003, Código Tributario Boliviano, con el siguiente texto:</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left="1400" w:hanging="560"/>
              <w:divId w:val="1691681184"/>
              <w:rPr>
                <w:rFonts w:ascii="Arial" w:hAnsi="Arial" w:cs="Arial"/>
                <w:sz w:val="17"/>
                <w:szCs w:val="17"/>
              </w:rPr>
            </w:pPr>
            <w:r>
              <w:rPr>
                <w:rFonts w:ascii="Arial" w:hAnsi="Arial" w:cs="Arial"/>
                <w:b/>
                <w:bCs/>
              </w:rPr>
              <w:t>“</w:t>
            </w:r>
            <w:r>
              <w:rPr>
                <w:rFonts w:ascii="Arial" w:hAnsi="Arial" w:cs="Arial"/>
                <w:b/>
                <w:bCs/>
                <w:i/>
                <w:iCs/>
              </w:rPr>
              <w:t>I.</w:t>
            </w:r>
            <w:r>
              <w:rPr>
                <w:rFonts w:ascii="Arial" w:hAnsi="Arial" w:cs="Arial"/>
                <w:i/>
                <w:iCs/>
              </w:rPr>
              <w:t xml:space="preserve"> </w:t>
            </w:r>
            <w:r>
              <w:rPr>
                <w:rFonts w:ascii="Arial" w:hAnsi="Arial" w:cs="Arial"/>
                <w:i/>
                <w:iCs/>
              </w:rPr>
              <w:tab/>
              <w:t>Las mercancías comisadas por ilícito de contrabando serán monetizadas por la administración aduanera, mediante remate o adjudicación a instituciones públi</w:t>
            </w:r>
            <w:r>
              <w:rPr>
                <w:rFonts w:ascii="Arial" w:hAnsi="Arial" w:cs="Arial"/>
                <w:i/>
                <w:iCs/>
              </w:rPr>
              <w:t xml:space="preserve">cas, dentro del plazo de diez (10) días posteriores a la emisión del acta de intervención. En caso de delito de contrabando, el remate o adjudicación se realizará con comunicación escrita al Fiscal y al Juez Instructor. </w:t>
            </w:r>
          </w:p>
          <w:p w:rsidR="00000000" w:rsidRDefault="002967CD">
            <w:pPr>
              <w:pStyle w:val="NormalWeb"/>
              <w:ind w:left="1400" w:hanging="560"/>
              <w:divId w:val="1691681184"/>
              <w:rPr>
                <w:rFonts w:ascii="Arial" w:hAnsi="Arial" w:cs="Arial"/>
                <w:sz w:val="17"/>
                <w:szCs w:val="17"/>
              </w:rPr>
            </w:pPr>
            <w:r>
              <w:rPr>
                <w:rFonts w:ascii="Arial" w:hAnsi="Arial" w:cs="Arial"/>
                <w:i/>
                <w:iCs/>
              </w:rPr>
              <w:t> </w:t>
            </w:r>
          </w:p>
          <w:p w:rsidR="00000000" w:rsidRDefault="002967CD">
            <w:pPr>
              <w:pStyle w:val="NormalWeb"/>
              <w:ind w:left="1400"/>
              <w:divId w:val="1691681184"/>
              <w:rPr>
                <w:rFonts w:ascii="Arial" w:hAnsi="Arial" w:cs="Arial"/>
                <w:sz w:val="17"/>
                <w:szCs w:val="17"/>
              </w:rPr>
            </w:pPr>
            <w:r>
              <w:rPr>
                <w:rFonts w:ascii="Arial" w:hAnsi="Arial" w:cs="Arial"/>
                <w:i/>
                <w:iCs/>
              </w:rPr>
              <w:t>La monetización mediante adjudica</w:t>
            </w:r>
            <w:r>
              <w:rPr>
                <w:rFonts w:ascii="Arial" w:hAnsi="Arial" w:cs="Arial"/>
                <w:i/>
                <w:iCs/>
              </w:rPr>
              <w:t xml:space="preserve">ción a instituciones públicas, se realizará sobre el valor que se establezca mediante reglamentación. </w:t>
            </w:r>
          </w:p>
          <w:p w:rsidR="00000000" w:rsidRDefault="002967CD">
            <w:pPr>
              <w:pStyle w:val="NormalWeb"/>
              <w:ind w:left="1400" w:hanging="560"/>
              <w:divId w:val="1691681184"/>
              <w:rPr>
                <w:rFonts w:ascii="Arial" w:hAnsi="Arial" w:cs="Arial"/>
                <w:sz w:val="17"/>
                <w:szCs w:val="17"/>
              </w:rPr>
            </w:pPr>
            <w:r>
              <w:rPr>
                <w:rFonts w:ascii="Arial" w:hAnsi="Arial" w:cs="Arial"/>
                <w:i/>
                <w:iCs/>
              </w:rPr>
              <w:t> </w:t>
            </w:r>
          </w:p>
          <w:p w:rsidR="00000000" w:rsidRDefault="002967CD">
            <w:pPr>
              <w:pStyle w:val="NormalWeb"/>
              <w:ind w:left="1400"/>
              <w:divId w:val="1691681184"/>
              <w:rPr>
                <w:rFonts w:ascii="Arial" w:hAnsi="Arial" w:cs="Arial"/>
                <w:sz w:val="17"/>
                <w:szCs w:val="17"/>
              </w:rPr>
            </w:pPr>
            <w:r>
              <w:rPr>
                <w:rFonts w:ascii="Arial" w:hAnsi="Arial" w:cs="Arial"/>
                <w:i/>
                <w:iCs/>
              </w:rPr>
              <w:t>La adjudicación a instituciones públicas podrá realizarse a título gratuito cuando las mercancías comisadas cuenten con sentencia ejecutoriada o resolu</w:t>
            </w:r>
            <w:r>
              <w:rPr>
                <w:rFonts w:ascii="Arial" w:hAnsi="Arial" w:cs="Arial"/>
                <w:i/>
                <w:iCs/>
              </w:rPr>
              <w:t xml:space="preserve">ción firme. </w:t>
            </w:r>
          </w:p>
          <w:p w:rsidR="00000000" w:rsidRDefault="002967CD">
            <w:pPr>
              <w:pStyle w:val="NormalWeb"/>
              <w:ind w:left="1400" w:hanging="560"/>
              <w:divId w:val="1691681184"/>
              <w:rPr>
                <w:rFonts w:ascii="Arial" w:hAnsi="Arial" w:cs="Arial"/>
                <w:sz w:val="17"/>
                <w:szCs w:val="17"/>
              </w:rPr>
            </w:pPr>
            <w:r>
              <w:rPr>
                <w:rFonts w:ascii="Arial" w:hAnsi="Arial" w:cs="Arial"/>
                <w:i/>
                <w:iCs/>
              </w:rPr>
              <w:t> </w:t>
            </w:r>
          </w:p>
          <w:p w:rsidR="00000000" w:rsidRDefault="002967CD">
            <w:pPr>
              <w:pStyle w:val="NormalWeb"/>
              <w:ind w:left="1400" w:hanging="560"/>
              <w:divId w:val="1691681184"/>
              <w:rPr>
                <w:rFonts w:ascii="Arial" w:hAnsi="Arial" w:cs="Arial"/>
                <w:sz w:val="17"/>
                <w:szCs w:val="17"/>
              </w:rPr>
            </w:pPr>
            <w:r>
              <w:rPr>
                <w:rFonts w:ascii="Arial" w:hAnsi="Arial" w:cs="Arial"/>
                <w:b/>
                <w:bCs/>
                <w:i/>
                <w:iCs/>
              </w:rPr>
              <w:t>II.</w:t>
            </w:r>
            <w:r>
              <w:rPr>
                <w:rFonts w:ascii="Arial" w:hAnsi="Arial" w:cs="Arial"/>
                <w:i/>
                <w:iCs/>
              </w:rPr>
              <w:t xml:space="preserve"> </w:t>
            </w:r>
            <w:r>
              <w:rPr>
                <w:rFonts w:ascii="Arial" w:hAnsi="Arial" w:cs="Arial"/>
                <w:i/>
                <w:iCs/>
              </w:rPr>
              <w:tab/>
              <w:t>Las mercancías que cuenten con sentencia ejecutoriada o resolución firme y que no hayan podido ser dispuestas mediante remate o adjudicación a instituciones públicas, podrán ser destruidas previa evaluación de la administración aduanera</w:t>
            </w:r>
            <w:r>
              <w:rPr>
                <w:rFonts w:ascii="Arial" w:hAnsi="Arial" w:cs="Arial"/>
                <w:i/>
                <w:iCs/>
              </w:rPr>
              <w:t>, a objeto de no generar mayores gastos al Estado.</w:t>
            </w:r>
          </w:p>
          <w:p w:rsidR="00000000" w:rsidRDefault="002967CD">
            <w:pPr>
              <w:pStyle w:val="NormalWeb"/>
              <w:ind w:left="1400" w:hanging="560"/>
              <w:divId w:val="1691681184"/>
              <w:rPr>
                <w:rFonts w:ascii="Arial" w:hAnsi="Arial" w:cs="Arial"/>
                <w:sz w:val="17"/>
                <w:szCs w:val="17"/>
              </w:rPr>
            </w:pPr>
            <w:r>
              <w:rPr>
                <w:rFonts w:ascii="Arial" w:hAnsi="Arial" w:cs="Arial"/>
                <w:i/>
                <w:iCs/>
              </w:rPr>
              <w:t> </w:t>
            </w:r>
          </w:p>
          <w:p w:rsidR="00000000" w:rsidRDefault="002967CD">
            <w:pPr>
              <w:pStyle w:val="NormalWeb"/>
              <w:ind w:left="1400" w:hanging="560"/>
              <w:divId w:val="1691681184"/>
              <w:rPr>
                <w:rFonts w:ascii="Arial" w:hAnsi="Arial" w:cs="Arial"/>
                <w:sz w:val="17"/>
                <w:szCs w:val="17"/>
              </w:rPr>
            </w:pPr>
            <w:r>
              <w:rPr>
                <w:rFonts w:ascii="Arial" w:hAnsi="Arial" w:cs="Arial"/>
                <w:b/>
                <w:bCs/>
                <w:i/>
                <w:iCs/>
              </w:rPr>
              <w:t xml:space="preserve">III. </w:t>
            </w:r>
            <w:r>
              <w:rPr>
                <w:rFonts w:ascii="Arial" w:hAnsi="Arial" w:cs="Arial"/>
                <w:b/>
                <w:bCs/>
                <w:i/>
                <w:iCs/>
              </w:rPr>
              <w:tab/>
            </w:r>
            <w:r>
              <w:rPr>
                <w:rFonts w:ascii="Arial" w:hAnsi="Arial" w:cs="Arial"/>
                <w:i/>
                <w:iCs/>
              </w:rPr>
              <w:t>Las mercancías que no sean aptas para el consumo serán destruidas inmediatamente por la administración aduanera en presencia de notario de fe pública. En caso de delito de contrabando, la destrucci</w:t>
            </w:r>
            <w:r>
              <w:rPr>
                <w:rFonts w:ascii="Arial" w:hAnsi="Arial" w:cs="Arial"/>
                <w:i/>
                <w:iCs/>
              </w:rPr>
              <w:t>ón se realizará con comunicación escrita al Fiscal o Juez Instructor, no siendo necesaria su presencia durante el acto.</w:t>
            </w:r>
            <w:r>
              <w:rPr>
                <w:rFonts w:ascii="Arial" w:hAnsi="Arial" w:cs="Arial"/>
              </w:rPr>
              <w:t>”</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CUARTA</w:t>
            </w:r>
            <w:r>
              <w:rPr>
                <w:rFonts w:ascii="Arial" w:hAnsi="Arial" w:cs="Arial"/>
              </w:rPr>
              <w:t>.Se sustituye el Inciso a) del Artículo 47 de la Ley N° 1488 de Bancos y Entidades Financieras (Texto Ordenado), por el siguien</w:t>
            </w:r>
            <w:r>
              <w:rPr>
                <w:rFonts w:ascii="Arial" w:hAnsi="Arial" w:cs="Arial"/>
              </w:rPr>
              <w:t>te texto: “a</w:t>
            </w:r>
            <w:r>
              <w:rPr>
                <w:rFonts w:ascii="Arial" w:hAnsi="Arial" w:cs="Arial"/>
                <w:i/>
                <w:iCs/>
              </w:rPr>
              <w:t>) Las entidades financieras deberán mantener un patrimonio neto equivalente a por lo menos el diez por ciento (10%) del total de sus activos y contingentes, ponderados en función de sus riesgos. El Órgano Ejecutivo mediante Decreto Supremo podr</w:t>
            </w:r>
            <w:r>
              <w:rPr>
                <w:rFonts w:ascii="Arial" w:hAnsi="Arial" w:cs="Arial"/>
                <w:i/>
                <w:iCs/>
              </w:rPr>
              <w:t>á modificar dicho porcentaje dentro de un margen donde el límite inferior es el diez por ciento (10%). La modificación de este porcentaje procederá en función de las condiciones prevalecientes del sistema financiero, la coyuntura macroeconómica y la situac</w:t>
            </w:r>
            <w:r>
              <w:rPr>
                <w:rFonts w:ascii="Arial" w:hAnsi="Arial" w:cs="Arial"/>
                <w:i/>
                <w:iCs/>
              </w:rPr>
              <w:t>ión externa.”</w:t>
            </w:r>
          </w:p>
          <w:p w:rsidR="00000000" w:rsidRDefault="002967CD">
            <w:pPr>
              <w:pStyle w:val="NormalWeb"/>
              <w:ind w:firstLine="840"/>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QUINTA.</w:t>
            </w:r>
            <w:r>
              <w:rPr>
                <w:rFonts w:ascii="Arial" w:hAnsi="Arial" w:cs="Arial"/>
              </w:rPr>
              <w:t xml:space="preserve"> Se incorpora como Capítulo VI del Título III de la Ley N° 843 (Texto Ordenado vigente), el siguiente Artículo: </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jc w:val="center"/>
              <w:divId w:val="1691681184"/>
              <w:rPr>
                <w:rFonts w:ascii="Arial" w:hAnsi="Arial" w:cs="Arial"/>
                <w:sz w:val="17"/>
                <w:szCs w:val="17"/>
              </w:rPr>
            </w:pPr>
            <w:r>
              <w:rPr>
                <w:rFonts w:ascii="Arial" w:hAnsi="Arial" w:cs="Arial"/>
                <w:b/>
                <w:bCs/>
              </w:rPr>
              <w:t>“</w:t>
            </w:r>
            <w:r>
              <w:rPr>
                <w:rFonts w:ascii="Arial" w:hAnsi="Arial" w:cs="Arial"/>
                <w:b/>
                <w:bCs/>
                <w:i/>
                <w:iCs/>
              </w:rPr>
              <w:t>CAPITULO VI</w:t>
            </w:r>
          </w:p>
          <w:p w:rsidR="00000000" w:rsidRDefault="002967CD">
            <w:pPr>
              <w:pStyle w:val="NormalWeb"/>
              <w:jc w:val="center"/>
              <w:divId w:val="1691681184"/>
              <w:rPr>
                <w:rFonts w:ascii="Arial" w:hAnsi="Arial" w:cs="Arial"/>
                <w:sz w:val="17"/>
                <w:szCs w:val="17"/>
              </w:rPr>
            </w:pPr>
            <w:r>
              <w:rPr>
                <w:rFonts w:ascii="Arial" w:hAnsi="Arial" w:cs="Arial"/>
                <w:b/>
                <w:bCs/>
                <w:i/>
                <w:iCs/>
              </w:rPr>
              <w:t xml:space="preserve">ALICUOTA ADICIONAL A LAS UTILIDADES </w:t>
            </w:r>
          </w:p>
          <w:p w:rsidR="00000000" w:rsidRDefault="002967CD">
            <w:pPr>
              <w:pStyle w:val="NormalWeb"/>
              <w:jc w:val="center"/>
              <w:divId w:val="1691681184"/>
              <w:rPr>
                <w:rFonts w:ascii="Arial" w:hAnsi="Arial" w:cs="Arial"/>
                <w:sz w:val="17"/>
                <w:szCs w:val="17"/>
              </w:rPr>
            </w:pPr>
            <w:r>
              <w:rPr>
                <w:rFonts w:ascii="Arial" w:hAnsi="Arial" w:cs="Arial"/>
                <w:b/>
                <w:bCs/>
                <w:i/>
                <w:iCs/>
              </w:rPr>
              <w:t>DE LA ACTIVIDAD DE INTERMEDIACIÓN FINANCIERA</w:t>
            </w:r>
          </w:p>
          <w:p w:rsidR="00000000" w:rsidRDefault="002967CD">
            <w:pPr>
              <w:pStyle w:val="NormalWeb"/>
              <w:jc w:val="center"/>
              <w:divId w:val="1691681184"/>
              <w:rPr>
                <w:rFonts w:ascii="Arial" w:hAnsi="Arial" w:cs="Arial"/>
                <w:sz w:val="17"/>
                <w:szCs w:val="17"/>
              </w:rPr>
            </w:pPr>
            <w:r>
              <w:rPr>
                <w:rFonts w:ascii="Arial" w:hAnsi="Arial" w:cs="Arial"/>
                <w:b/>
                <w:bCs/>
                <w:i/>
                <w:iCs/>
              </w:rPr>
              <w:t> </w:t>
            </w:r>
          </w:p>
          <w:p w:rsidR="00000000" w:rsidRDefault="002967CD">
            <w:pPr>
              <w:pStyle w:val="NormalWeb"/>
              <w:ind w:left="1400" w:firstLine="560"/>
              <w:divId w:val="1691681184"/>
              <w:rPr>
                <w:rFonts w:ascii="Arial" w:hAnsi="Arial" w:cs="Arial"/>
                <w:sz w:val="17"/>
                <w:szCs w:val="17"/>
              </w:rPr>
            </w:pPr>
            <w:r>
              <w:rPr>
                <w:rFonts w:ascii="Arial" w:hAnsi="Arial" w:cs="Arial"/>
                <w:b/>
                <w:bCs/>
                <w:i/>
                <w:iCs/>
              </w:rPr>
              <w:t>Artículo 51 ter.</w:t>
            </w:r>
            <w:r>
              <w:rPr>
                <w:rFonts w:ascii="Arial" w:hAnsi="Arial" w:cs="Arial"/>
                <w:i/>
                <w:iCs/>
              </w:rPr>
              <w:t xml:space="preserve"> </w:t>
            </w:r>
            <w:r>
              <w:rPr>
                <w:rFonts w:ascii="Arial" w:hAnsi="Arial" w:cs="Arial"/>
                <w:i/>
                <w:iCs/>
              </w:rPr>
              <w:t>Las utilidades de entidades financieras bancarias y no bancarias reguladas por la Autoridad de Supervisión del Sistema Financiero, exceptuando los bancos de segundo piso, que excedan el 13% (trece por ciento) del coeficiente de rentabilidad respecto del pa</w:t>
            </w:r>
            <w:r>
              <w:rPr>
                <w:rFonts w:ascii="Arial" w:hAnsi="Arial" w:cs="Arial"/>
                <w:i/>
                <w:iCs/>
              </w:rPr>
              <w:t>trimonio neto, a partir de la gestión 2012, estarán gravadas con una alícuota adicional del Impuesto sobre las Utilidades de las Empresas, del 12.5% (doce punto cinco por ciento), la cual no será computable como un pago a cuenta del Impuesto a las Transacc</w:t>
            </w:r>
            <w:r>
              <w:rPr>
                <w:rFonts w:ascii="Arial" w:hAnsi="Arial" w:cs="Arial"/>
                <w:i/>
                <w:iCs/>
              </w:rPr>
              <w:t>iones. El procedimiento de aplicación de la presente disposición se reglamentará mediante Decreto Supremo.</w:t>
            </w:r>
            <w:r>
              <w:rPr>
                <w:rFonts w:ascii="Arial" w:hAnsi="Arial" w:cs="Arial"/>
              </w:rPr>
              <w:t>”</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SEXTA. </w:t>
            </w:r>
            <w:r>
              <w:rPr>
                <w:rFonts w:ascii="Arial" w:hAnsi="Arial" w:cs="Arial"/>
              </w:rPr>
              <w:t>Se complementa el Artículo 2 de la Ley Nº 3741 de 14 de septiembre de 2007, según la siguiente redacción:</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left="1400" w:hanging="560"/>
              <w:divId w:val="1691681184"/>
              <w:rPr>
                <w:rFonts w:ascii="Arial" w:hAnsi="Arial" w:cs="Arial"/>
                <w:sz w:val="17"/>
                <w:szCs w:val="17"/>
              </w:rPr>
            </w:pPr>
            <w:r>
              <w:rPr>
                <w:rFonts w:ascii="Lucida Sans Typewriter" w:hAnsi="Lucida Sans Typewriter" w:cs="Lucida Sans Typewriter"/>
              </w:rPr>
              <w:t>“</w:t>
            </w:r>
            <w:r>
              <w:rPr>
                <w:rFonts w:ascii="Lucida Sans Typewriter" w:hAnsi="Lucida Sans Typewriter" w:cs="Lucida Sans Typewriter"/>
                <w:b/>
                <w:bCs/>
                <w:i/>
                <w:iCs/>
              </w:rPr>
              <w:t xml:space="preserve">I. </w:t>
            </w:r>
            <w:r>
              <w:rPr>
                <w:rFonts w:ascii="Lucida Sans Typewriter" w:hAnsi="Lucida Sans Typewriter" w:cs="Lucida Sans Typewriter"/>
                <w:b/>
                <w:bCs/>
                <w:i/>
                <w:iCs/>
              </w:rPr>
              <w:tab/>
            </w:r>
            <w:r>
              <w:rPr>
                <w:rFonts w:ascii="Lucida Sans Typewriter" w:hAnsi="Lucida Sans Typewriter" w:cs="Lucida Sans Typewriter"/>
                <w:i/>
                <w:iCs/>
              </w:rPr>
              <w:t xml:space="preserve">Los mecanismos de funcionamiento, gestión social y evaluación del Programa Solidario Comunal Departamental – PROSOL, serán establecidos en un Reglamento Operativo, que será aprobado mediante Ley Departamental, a propuesta del Órgano Ejecutivo del Gobierno </w:t>
            </w:r>
            <w:r>
              <w:rPr>
                <w:rFonts w:ascii="Lucida Sans Typewriter" w:hAnsi="Lucida Sans Typewriter" w:cs="Lucida Sans Typewriter"/>
                <w:i/>
                <w:iCs/>
              </w:rPr>
              <w:t>Autónomo Departamental, consensuado con la Federación Sindical Única de Comunidades Campesinas de Tarija, sus nueve centrales, la Federación Única de Trabajadores Campesinos de la Región Autónoma Gran Chaco, la Federación de Campesinos de Bermejo y las org</w:t>
            </w:r>
            <w:r>
              <w:rPr>
                <w:rFonts w:ascii="Lucida Sans Typewriter" w:hAnsi="Lucida Sans Typewriter" w:cs="Lucida Sans Typewriter"/>
                <w:i/>
                <w:iCs/>
              </w:rPr>
              <w:t>anizaciones matrices de los pueblos indígenas.</w:t>
            </w:r>
          </w:p>
          <w:p w:rsidR="00000000" w:rsidRDefault="002967CD">
            <w:pPr>
              <w:pStyle w:val="NormalWeb"/>
              <w:ind w:left="1400" w:hanging="560"/>
              <w:divId w:val="1691681184"/>
              <w:rPr>
                <w:rFonts w:ascii="Arial" w:hAnsi="Arial" w:cs="Arial"/>
                <w:sz w:val="17"/>
                <w:szCs w:val="17"/>
              </w:rPr>
            </w:pPr>
            <w:r>
              <w:rPr>
                <w:rFonts w:ascii="Lucida Sans Typewriter" w:hAnsi="Lucida Sans Typewriter" w:cs="Lucida Sans Typewriter"/>
                <w:i/>
                <w:iCs/>
              </w:rPr>
              <w:t> </w:t>
            </w:r>
          </w:p>
          <w:p w:rsidR="00000000" w:rsidRDefault="002967CD">
            <w:pPr>
              <w:pStyle w:val="NormalWeb"/>
              <w:ind w:left="1400" w:hanging="560"/>
              <w:divId w:val="1691681184"/>
              <w:rPr>
                <w:rFonts w:ascii="Arial" w:hAnsi="Arial" w:cs="Arial"/>
                <w:sz w:val="17"/>
                <w:szCs w:val="17"/>
              </w:rPr>
            </w:pPr>
            <w:r>
              <w:rPr>
                <w:rFonts w:ascii="Lucida Sans Typewriter" w:hAnsi="Lucida Sans Typewriter" w:cs="Lucida Sans Typewriter"/>
                <w:b/>
                <w:bCs/>
                <w:i/>
                <w:iCs/>
              </w:rPr>
              <w:t xml:space="preserve">II. </w:t>
            </w:r>
            <w:r>
              <w:rPr>
                <w:rFonts w:ascii="Lucida Sans Typewriter" w:hAnsi="Lucida Sans Typewriter" w:cs="Lucida Sans Typewriter"/>
                <w:b/>
                <w:bCs/>
                <w:i/>
                <w:iCs/>
              </w:rPr>
              <w:tab/>
            </w:r>
            <w:r>
              <w:rPr>
                <w:rFonts w:ascii="Lucida Sans Typewriter" w:hAnsi="Lucida Sans Typewriter" w:cs="Lucida Sans Typewriter"/>
                <w:i/>
                <w:iCs/>
              </w:rPr>
              <w:t>Si en el transcurso de cinco (5) días hábiles la Asamblea Departamental no aprobase el referido reglamento, el mismo se dará por aprobado debiendo el Órgano Ejecutivo Departamental, mediante norma legal</w:t>
            </w:r>
            <w:r>
              <w:rPr>
                <w:rFonts w:ascii="Lucida Sans Typewriter" w:hAnsi="Lucida Sans Typewriter" w:cs="Lucida Sans Typewriter"/>
                <w:i/>
                <w:iCs/>
              </w:rPr>
              <w:t xml:space="preserve"> expresa, establecer su vigencia</w:t>
            </w:r>
            <w:r>
              <w:rPr>
                <w:rFonts w:ascii="Lucida Sans Typewriter" w:hAnsi="Lucida Sans Typewriter" w:cs="Lucida Sans Typewriter"/>
              </w:rPr>
              <w:t>.”</w:t>
            </w:r>
          </w:p>
          <w:p w:rsidR="00000000" w:rsidRDefault="002967CD">
            <w:pPr>
              <w:pStyle w:val="NormalWeb"/>
              <w:divId w:val="1691681184"/>
              <w:rPr>
                <w:rFonts w:ascii="Arial" w:hAnsi="Arial" w:cs="Arial"/>
                <w:sz w:val="17"/>
                <w:szCs w:val="17"/>
              </w:rPr>
            </w:pPr>
            <w:r>
              <w:rPr>
                <w:rFonts w:ascii="Lucida Sans Typewriter" w:hAnsi="Lucida Sans Typewriter" w:cs="Lucida Sans Typewriter"/>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SÉPTIMA.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En la relación de los procesos de consulta y participación previa, libre e informada para actividades de las empresas públicas estratégicas, en trámite o futuros, no se admitirá la discusión de otros tem</w:t>
            </w:r>
            <w:r>
              <w:rPr>
                <w:rFonts w:ascii="Arial" w:hAnsi="Arial" w:cs="Arial"/>
              </w:rPr>
              <w:t>as que no sean de competencia de la Autoridad Competente y otros no relacionados a la implementación de la actividad hidrocarburífera y de otros sectores, que causen retraso en la suscripción del Convenio de Validación de Acuerdos y perjudiquen la ejecució</w:t>
            </w:r>
            <w:r>
              <w:rPr>
                <w:rFonts w:ascii="Arial" w:hAnsi="Arial" w:cs="Arial"/>
              </w:rPr>
              <w:t>n del proceso de consulta y participación en las condiciones, plazos y términos que hayan sido establecidos en el Acta de Entendimiento.</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II. </w:t>
            </w:r>
            <w:r>
              <w:rPr>
                <w:rFonts w:ascii="Arial" w:hAnsi="Arial" w:cs="Arial"/>
                <w:b/>
                <w:bCs/>
              </w:rPr>
              <w:tab/>
            </w:r>
            <w:r>
              <w:rPr>
                <w:rFonts w:ascii="Arial" w:hAnsi="Arial" w:cs="Arial"/>
              </w:rPr>
              <w:t xml:space="preserve">Si habiéndose cumplido con todas las condiciones, plazos y términos del Acta de Entendimiento para la ejecución </w:t>
            </w:r>
            <w:r>
              <w:rPr>
                <w:rFonts w:ascii="Arial" w:hAnsi="Arial" w:cs="Arial"/>
              </w:rPr>
              <w:t>de la consulta, no se llegara a la suscripción del Convenio de Validación de Acuerdos por las razones antes mencionadas, se continuará con el procedimiento para la elaboración y aprobación del EEIA conforme a la normativa vigente. Mientras dure este proces</w:t>
            </w:r>
            <w:r>
              <w:rPr>
                <w:rFonts w:ascii="Arial" w:hAnsi="Arial" w:cs="Arial"/>
              </w:rPr>
              <w:t xml:space="preserve">o se podrá suscribir el Convenio de Validación. </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OCTAVA.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 </w:t>
            </w:r>
            <w:r>
              <w:rPr>
                <w:rFonts w:ascii="Arial" w:hAnsi="Arial" w:cs="Arial"/>
                <w:b/>
                <w:bCs/>
              </w:rPr>
              <w:tab/>
            </w:r>
            <w:r>
              <w:rPr>
                <w:rFonts w:ascii="Arial" w:hAnsi="Arial" w:cs="Arial"/>
              </w:rPr>
              <w:t>Se modifica el inciso c) del Artículo 16 de la Ley 1604 de 21 de diciembre de 1994, de Electricidad con el siguiente texto.</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left="1980" w:hanging="560"/>
              <w:divId w:val="1691681184"/>
              <w:rPr>
                <w:rFonts w:ascii="Arial" w:hAnsi="Arial" w:cs="Arial"/>
                <w:sz w:val="17"/>
                <w:szCs w:val="17"/>
              </w:rPr>
            </w:pPr>
            <w:r>
              <w:rPr>
                <w:rFonts w:ascii="Arial" w:hAnsi="Arial" w:cs="Arial"/>
              </w:rPr>
              <w:t>“</w:t>
            </w:r>
            <w:r>
              <w:rPr>
                <w:rFonts w:ascii="Arial" w:hAnsi="Arial" w:cs="Arial"/>
                <w:i/>
                <w:iCs/>
              </w:rPr>
              <w:t xml:space="preserve">c) </w:t>
            </w:r>
            <w:r>
              <w:rPr>
                <w:rFonts w:ascii="Arial" w:hAnsi="Arial" w:cs="Arial"/>
                <w:i/>
                <w:iCs/>
              </w:rPr>
              <w:tab/>
              <w:t>Podrá</w:t>
            </w:r>
            <w:r>
              <w:rPr>
                <w:rFonts w:ascii="Arial" w:hAnsi="Arial" w:cs="Arial"/>
                <w:i/>
                <w:iCs/>
              </w:rPr>
              <w:t>n suscribir contratos de compra venta de electricidad con otros generadores o Distribuidores con sujeción a la presente Ley</w:t>
            </w:r>
            <w:r>
              <w:rPr>
                <w:rFonts w:ascii="Arial" w:hAnsi="Arial" w:cs="Arial"/>
              </w:rPr>
              <w:t>.”</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II. </w:t>
            </w:r>
            <w:r>
              <w:rPr>
                <w:rFonts w:ascii="Arial" w:hAnsi="Arial" w:cs="Arial"/>
                <w:b/>
                <w:bCs/>
              </w:rPr>
              <w:tab/>
            </w:r>
            <w:r>
              <w:rPr>
                <w:rFonts w:ascii="Arial" w:hAnsi="Arial" w:cs="Arial"/>
              </w:rPr>
              <w:t>Se modifica el inciso a) del artículo 19 de la Ley N</w:t>
            </w:r>
            <w:r>
              <w:rPr>
                <w:rFonts w:ascii="Arial" w:hAnsi="Arial" w:cs="Arial"/>
                <w:vertAlign w:val="superscript"/>
              </w:rPr>
              <w:t>o</w:t>
            </w:r>
            <w:r>
              <w:rPr>
                <w:rFonts w:ascii="Arial" w:hAnsi="Arial" w:cs="Arial"/>
              </w:rPr>
              <w:t>1604 de 21 de diciembre de 1994, de electricidad con el siguiente text</w:t>
            </w:r>
            <w:r>
              <w:rPr>
                <w:rFonts w:ascii="Arial" w:hAnsi="Arial" w:cs="Arial"/>
              </w:rPr>
              <w:t>o:</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left="1980" w:hanging="560"/>
              <w:divId w:val="1691681184"/>
              <w:rPr>
                <w:rFonts w:ascii="Arial" w:hAnsi="Arial" w:cs="Arial"/>
                <w:sz w:val="17"/>
                <w:szCs w:val="17"/>
              </w:rPr>
            </w:pPr>
            <w:r>
              <w:rPr>
                <w:rFonts w:ascii="Arial" w:hAnsi="Arial" w:cs="Arial"/>
                <w:i/>
                <w:iCs/>
              </w:rPr>
              <w:t xml:space="preserve">“a) </w:t>
            </w:r>
            <w:r>
              <w:rPr>
                <w:rFonts w:ascii="Arial" w:hAnsi="Arial" w:cs="Arial"/>
                <w:i/>
                <w:iCs/>
              </w:rPr>
              <w:tab/>
              <w:t>Planificar la operación integrada del Sistema Interconectado Nacional, con el objetivo de satisfacer la demanda mediante una operación segura confiable y de costo mínimo, priorizando en el marco de lo establecido en la Constitución Política del E</w:t>
            </w:r>
            <w:r>
              <w:rPr>
                <w:rFonts w:ascii="Arial" w:hAnsi="Arial" w:cs="Arial"/>
                <w:i/>
                <w:iCs/>
              </w:rPr>
              <w:t>stado, el abastecimiento a los consumidores domiciliarios y entidades que presten servicios públicos de salud, educación, seguridad ciudadana y transporte público.”</w:t>
            </w:r>
          </w:p>
          <w:p w:rsidR="00000000" w:rsidRDefault="002967CD">
            <w:pPr>
              <w:pStyle w:val="NormalWeb"/>
              <w:ind w:left="1980" w:hanging="560"/>
              <w:divId w:val="1691681184"/>
              <w:rPr>
                <w:rFonts w:ascii="Arial" w:hAnsi="Arial" w:cs="Arial"/>
                <w:sz w:val="17"/>
                <w:szCs w:val="17"/>
              </w:rPr>
            </w:pPr>
            <w:r>
              <w:rPr>
                <w:rFonts w:ascii="Arial" w:hAnsi="Arial" w:cs="Arial"/>
                <w:i/>
                <w:iCs/>
              </w:rPr>
              <w:t> </w:t>
            </w:r>
          </w:p>
          <w:p w:rsidR="00000000" w:rsidRDefault="002967CD">
            <w:pPr>
              <w:pStyle w:val="NormalWeb"/>
              <w:divId w:val="1691681184"/>
              <w:rPr>
                <w:rFonts w:ascii="Arial" w:hAnsi="Arial" w:cs="Arial"/>
                <w:sz w:val="17"/>
                <w:szCs w:val="17"/>
              </w:rPr>
            </w:pPr>
            <w:r>
              <w:rPr>
                <w:rFonts w:ascii="Arial" w:hAnsi="Arial" w:cs="Arial"/>
                <w:i/>
                <w:iCs/>
              </w:rPr>
              <w:t> </w:t>
            </w:r>
          </w:p>
          <w:p w:rsidR="00000000" w:rsidRDefault="002967CD">
            <w:pPr>
              <w:pStyle w:val="NormalWeb"/>
              <w:jc w:val="center"/>
              <w:divId w:val="1691681184"/>
              <w:rPr>
                <w:rFonts w:ascii="Arial" w:hAnsi="Arial" w:cs="Arial"/>
                <w:sz w:val="17"/>
                <w:szCs w:val="17"/>
              </w:rPr>
            </w:pPr>
            <w:r>
              <w:rPr>
                <w:rFonts w:ascii="Arial" w:hAnsi="Arial" w:cs="Arial"/>
                <w:b/>
                <w:bCs/>
              </w:rPr>
              <w:t>DISPOSICIONES TRANSITORIAS</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PRIMERA.</w:t>
            </w:r>
            <w:r>
              <w:rPr>
                <w:rFonts w:ascii="Arial" w:hAnsi="Arial" w:cs="Arial"/>
              </w:rPr>
              <w:t xml:space="preserve"> De forma transitoria y hasta la designación de Di</w:t>
            </w:r>
            <w:r>
              <w:rPr>
                <w:rFonts w:ascii="Arial" w:hAnsi="Arial" w:cs="Arial"/>
              </w:rPr>
              <w:t>rectores de la Gestora Pública de la Seguridad Social de Largo Plazo según lo establecido en Ley Nº 065 de 10 de diciembre de 2010, las atribuciones del Directorio de la Gestora Pública de la Seguridad Social de Largo Plazo serán asumidas por el Ministerio</w:t>
            </w:r>
            <w:r>
              <w:rPr>
                <w:rFonts w:ascii="Arial" w:hAnsi="Arial" w:cs="Arial"/>
              </w:rPr>
              <w:t xml:space="preserve"> de Economía y Finanzas Públicas (MEFP), quien tendrá también las atribuciones de constitución de la Gestora Pública de la Seguridad Social de Largo Plazo definidas en reglamento.</w:t>
            </w:r>
          </w:p>
          <w:p w:rsidR="00000000" w:rsidRDefault="002967CD">
            <w:pPr>
              <w:pStyle w:val="NormalWeb"/>
              <w:ind w:firstLine="840"/>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SEGUNDA. </w:t>
            </w:r>
            <w:r>
              <w:rPr>
                <w:rFonts w:ascii="Arial" w:hAnsi="Arial" w:cs="Arial"/>
              </w:rPr>
              <w:t>Se autoriza al Órgano Ejecutivo a través del Ministerio de Econ</w:t>
            </w:r>
            <w:r>
              <w:rPr>
                <w:rFonts w:ascii="Arial" w:hAnsi="Arial" w:cs="Arial"/>
              </w:rPr>
              <w:t>omía y Finanzas Públicas (MEFP), realizar modificaciones en el presupuesto de funcionamiento de la Universidad Mayor de San Andrés (UMSA) y de la Universidad Pública de El Alto (UPEA), incluye Servicios Personales; con fuente de financiamiento 41 “Transfer</w:t>
            </w:r>
            <w:r>
              <w:rPr>
                <w:rFonts w:ascii="Arial" w:hAnsi="Arial" w:cs="Arial"/>
              </w:rPr>
              <w:t>encias TGN” y organismo financiador 113 “Tesoro General de la Nación – Participación Popular”, emergentes de la distribución de los recursos de Coparticipación Tributaria.</w:t>
            </w:r>
          </w:p>
          <w:p w:rsidR="00000000" w:rsidRDefault="002967CD">
            <w:pPr>
              <w:pStyle w:val="NormalWeb"/>
              <w:ind w:firstLine="840"/>
              <w:divId w:val="1691681184"/>
              <w:rPr>
                <w:rFonts w:ascii="Arial" w:hAnsi="Arial" w:cs="Arial"/>
                <w:sz w:val="17"/>
                <w:szCs w:val="17"/>
              </w:rPr>
            </w:pPr>
            <w:r>
              <w:rPr>
                <w:rFonts w:ascii="Arial" w:hAnsi="Arial" w:cs="Arial"/>
                <w:b/>
                <w:bCs/>
              </w:rPr>
              <w:t> </w:t>
            </w:r>
          </w:p>
          <w:p w:rsidR="00000000" w:rsidRDefault="002967CD">
            <w:pPr>
              <w:pStyle w:val="NormalWeb"/>
              <w:jc w:val="center"/>
              <w:divId w:val="1691681184"/>
              <w:rPr>
                <w:rFonts w:ascii="Arial" w:hAnsi="Arial" w:cs="Arial"/>
                <w:sz w:val="17"/>
                <w:szCs w:val="17"/>
              </w:rPr>
            </w:pPr>
            <w:r>
              <w:rPr>
                <w:rFonts w:ascii="Arial" w:hAnsi="Arial" w:cs="Arial"/>
                <w:b/>
                <w:bCs/>
              </w:rPr>
              <w:t> </w:t>
            </w:r>
          </w:p>
          <w:p w:rsidR="00000000" w:rsidRDefault="002967CD">
            <w:pPr>
              <w:pStyle w:val="NormalWeb"/>
              <w:jc w:val="center"/>
              <w:divId w:val="1691681184"/>
              <w:rPr>
                <w:rFonts w:ascii="Arial" w:hAnsi="Arial" w:cs="Arial"/>
                <w:sz w:val="17"/>
                <w:szCs w:val="17"/>
              </w:rPr>
            </w:pPr>
            <w:r>
              <w:rPr>
                <w:rFonts w:ascii="Arial" w:hAnsi="Arial" w:cs="Arial"/>
                <w:b/>
                <w:bCs/>
              </w:rPr>
              <w:t>DISPOSICIONES FINALES</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PRIMERA. </w:t>
            </w:r>
          </w:p>
          <w:p w:rsidR="00000000" w:rsidRDefault="002967CD">
            <w:pPr>
              <w:pStyle w:val="NormalWeb"/>
              <w:ind w:firstLine="840"/>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I.</w:t>
            </w:r>
            <w:r>
              <w:rPr>
                <w:rFonts w:ascii="Arial" w:hAnsi="Arial" w:cs="Arial"/>
              </w:rPr>
              <w:t xml:space="preserve"> </w:t>
            </w:r>
            <w:r>
              <w:rPr>
                <w:rFonts w:ascii="Arial" w:hAnsi="Arial" w:cs="Arial"/>
              </w:rPr>
              <w:tab/>
            </w:r>
            <w:r>
              <w:rPr>
                <w:rFonts w:ascii="Arial" w:hAnsi="Arial" w:cs="Arial"/>
              </w:rPr>
              <w:t>A partir del 1 de enero de 2012, los saldos adeudados y flujos de pagos del Sector Público así como las cuentas relacionadas con el Programa de Alivio HIPC II, serán convertidos de Unidades de Fomento de Vivienda – UFV’s a moneda nacional (Bolivianos), uti</w:t>
            </w:r>
            <w:r>
              <w:rPr>
                <w:rFonts w:ascii="Arial" w:hAnsi="Arial" w:cs="Arial"/>
              </w:rPr>
              <w:t xml:space="preserve">lizando los tipos de cambio del 1 de enero de 2012. </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II.</w:t>
            </w:r>
            <w:r>
              <w:rPr>
                <w:rFonts w:ascii="Arial" w:hAnsi="Arial" w:cs="Arial"/>
              </w:rPr>
              <w:t xml:space="preserve"> </w:t>
            </w:r>
            <w:r>
              <w:rPr>
                <w:rFonts w:ascii="Arial" w:hAnsi="Arial" w:cs="Arial"/>
              </w:rPr>
              <w:tab/>
              <w:t>Se deroga el Parágrafo II del Artículo 3 de la Ley N° 2434, de 21 de diciembre de 2002.</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SEGUNDA. </w:t>
            </w:r>
            <w:r>
              <w:rPr>
                <w:rFonts w:ascii="Arial" w:hAnsi="Arial" w:cs="Arial"/>
              </w:rPr>
              <w:t>Las disposiciones contenidas en la presente Ley, se adecúan de manera automá</w:t>
            </w:r>
            <w:r>
              <w:rPr>
                <w:rFonts w:ascii="Arial" w:hAnsi="Arial" w:cs="Arial"/>
              </w:rPr>
              <w:t>tica, en cuanto sean aplicables, a la nueva estructura organizacional y definición de entidades del sector público, emergente de la aplicación de la Constitución Política del Estado y las demás disposiciones legales.</w:t>
            </w:r>
          </w:p>
          <w:p w:rsidR="00000000" w:rsidRDefault="002967CD">
            <w:pPr>
              <w:pStyle w:val="NormalWeb"/>
              <w:ind w:firstLine="840"/>
              <w:divId w:val="1691681184"/>
              <w:rPr>
                <w:rFonts w:ascii="Arial" w:hAnsi="Arial" w:cs="Arial"/>
                <w:sz w:val="17"/>
                <w:szCs w:val="17"/>
              </w:rPr>
            </w:pPr>
            <w:r>
              <w:rPr>
                <w:rFonts w:ascii="Arial" w:hAnsi="Arial" w:cs="Arial"/>
              </w:rPr>
              <w:t> </w:t>
            </w:r>
          </w:p>
          <w:p w:rsidR="00000000" w:rsidRDefault="002967CD">
            <w:pPr>
              <w:divId w:val="1691681184"/>
              <w:rPr>
                <w:rFonts w:ascii="Arial" w:eastAsia="Times New Roman" w:hAnsi="Arial" w:cs="Arial"/>
                <w:sz w:val="17"/>
                <w:szCs w:val="17"/>
              </w:rPr>
            </w:pPr>
            <w:r>
              <w:rPr>
                <w:rFonts w:ascii="Arial" w:eastAsia="Times New Roman" w:hAnsi="Arial" w:cs="Arial"/>
                <w:sz w:val="17"/>
                <w:szCs w:val="17"/>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TERCERA. </w:t>
            </w:r>
            <w:r>
              <w:rPr>
                <w:rFonts w:ascii="Arial" w:hAnsi="Arial" w:cs="Arial"/>
              </w:rPr>
              <w:t>Quedan vigentes para su ap</w:t>
            </w:r>
            <w:r>
              <w:rPr>
                <w:rFonts w:ascii="Arial" w:hAnsi="Arial" w:cs="Arial"/>
              </w:rPr>
              <w:t>licación en la gestión fiscal 2012:</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numPr>
                <w:ilvl w:val="0"/>
                <w:numId w:val="6"/>
              </w:numPr>
              <w:divId w:val="1691681184"/>
            </w:pPr>
            <w:r>
              <w:t>Artículos 6, 7, 8, 13, 14, 15, 16, 17, 20, 22, 23, 24, 25, 28, 33, 37, 42, 43, 46, 47, 50, 53, 56, 62 y 63 de la Ley del Presupuesto General del Estado 2010.</w:t>
            </w:r>
          </w:p>
          <w:p w:rsidR="00000000" w:rsidRDefault="002967CD">
            <w:pPr>
              <w:pStyle w:val="NormalWeb"/>
              <w:ind w:left="1980" w:hanging="560"/>
              <w:divId w:val="1691681184"/>
              <w:rPr>
                <w:rFonts w:ascii="Arial" w:hAnsi="Arial" w:cs="Arial"/>
                <w:sz w:val="17"/>
                <w:szCs w:val="17"/>
              </w:rPr>
            </w:pPr>
            <w:r>
              <w:rPr>
                <w:rFonts w:ascii="Arial" w:hAnsi="Arial" w:cs="Arial"/>
                <w:b/>
                <w:bCs/>
              </w:rPr>
              <w:t> </w:t>
            </w:r>
          </w:p>
          <w:p w:rsidR="00000000" w:rsidRDefault="002967CD">
            <w:pPr>
              <w:pStyle w:val="NormalWeb"/>
              <w:numPr>
                <w:ilvl w:val="0"/>
                <w:numId w:val="7"/>
              </w:numPr>
              <w:divId w:val="1691681184"/>
            </w:pPr>
            <w:r>
              <w:t>Artículos 5, 6, 7, 11, 13 y 19 de la Ley Nº 050 de 9 de oc</w:t>
            </w:r>
            <w:r>
              <w:t>tubre de 2010.</w:t>
            </w:r>
          </w:p>
          <w:p w:rsidR="00000000" w:rsidRDefault="002967CD">
            <w:pPr>
              <w:pStyle w:val="NormalWeb"/>
              <w:ind w:left="1980" w:hanging="560"/>
              <w:divId w:val="1691681184"/>
              <w:rPr>
                <w:rFonts w:ascii="Arial" w:hAnsi="Arial" w:cs="Arial"/>
                <w:sz w:val="17"/>
                <w:szCs w:val="17"/>
              </w:rPr>
            </w:pPr>
            <w:r>
              <w:rPr>
                <w:rFonts w:ascii="Arial" w:hAnsi="Arial" w:cs="Arial"/>
                <w:b/>
                <w:bCs/>
              </w:rPr>
              <w:t> </w:t>
            </w:r>
          </w:p>
          <w:p w:rsidR="00000000" w:rsidRDefault="002967CD">
            <w:pPr>
              <w:pStyle w:val="NormalWeb"/>
              <w:numPr>
                <w:ilvl w:val="0"/>
                <w:numId w:val="8"/>
              </w:numPr>
              <w:divId w:val="1691681184"/>
            </w:pPr>
            <w:r>
              <w:t xml:space="preserve">Artículos 2, 3, 5, 6, 8, 9, 10, 11, 12, 15, 16, 18, 19, 22, 24, 25, 26, 27, 29, 30, 31, 33, 34, 35 y 37 de la Ley Nº 062 de 28 de noviembre de 2010. </w:t>
            </w:r>
          </w:p>
          <w:p w:rsidR="00000000" w:rsidRDefault="002967CD">
            <w:pPr>
              <w:pStyle w:val="NormalWeb"/>
              <w:ind w:left="1980" w:hanging="560"/>
              <w:divId w:val="1691681184"/>
              <w:rPr>
                <w:rFonts w:ascii="Arial" w:hAnsi="Arial" w:cs="Arial"/>
                <w:sz w:val="17"/>
                <w:szCs w:val="17"/>
              </w:rPr>
            </w:pPr>
            <w:r>
              <w:rPr>
                <w:rFonts w:ascii="Arial" w:hAnsi="Arial" w:cs="Arial"/>
                <w:b/>
                <w:bCs/>
              </w:rPr>
              <w:t> </w:t>
            </w:r>
          </w:p>
          <w:p w:rsidR="00000000" w:rsidRDefault="002967CD">
            <w:pPr>
              <w:pStyle w:val="NormalWeb"/>
              <w:numPr>
                <w:ilvl w:val="0"/>
                <w:numId w:val="9"/>
              </w:numPr>
              <w:divId w:val="1691681184"/>
            </w:pPr>
            <w:r>
              <w:t>Disposición Adicional Primera, Quinta y Sexta de la Ley Nº 111 de 7 de mayo de 2011</w:t>
            </w:r>
            <w:r>
              <w:rPr>
                <w:b/>
                <w:bCs/>
              </w:rPr>
              <w:t>.</w:t>
            </w:r>
          </w:p>
          <w:p w:rsidR="00000000" w:rsidRDefault="002967CD">
            <w:pPr>
              <w:pStyle w:val="NormalWeb"/>
              <w:ind w:left="1980" w:hanging="560"/>
              <w:divId w:val="1691681184"/>
              <w:rPr>
                <w:rFonts w:ascii="Arial" w:hAnsi="Arial" w:cs="Arial"/>
                <w:sz w:val="17"/>
                <w:szCs w:val="17"/>
              </w:rPr>
            </w:pPr>
            <w:r>
              <w:rPr>
                <w:rFonts w:ascii="Arial" w:hAnsi="Arial" w:cs="Arial"/>
                <w:b/>
                <w:bCs/>
              </w:rPr>
              <w:t> </w:t>
            </w:r>
          </w:p>
          <w:p w:rsidR="00000000" w:rsidRDefault="002967CD">
            <w:pPr>
              <w:pStyle w:val="NormalWeb"/>
              <w:numPr>
                <w:ilvl w:val="0"/>
                <w:numId w:val="10"/>
              </w:numPr>
              <w:divId w:val="1691681184"/>
            </w:pPr>
            <w:r>
              <w:t>Artículos 4, 5 y 13 de la Ley Nº 169 de 9 de septiembre de 2011.</w:t>
            </w:r>
          </w:p>
          <w:p w:rsidR="00000000" w:rsidRDefault="002967CD">
            <w:pPr>
              <w:pStyle w:val="NormalWeb"/>
              <w:ind w:left="1980" w:hanging="560"/>
              <w:divId w:val="1691681184"/>
              <w:rPr>
                <w:rFonts w:ascii="Arial" w:hAnsi="Arial" w:cs="Arial"/>
                <w:sz w:val="17"/>
                <w:szCs w:val="17"/>
              </w:rPr>
            </w:pPr>
            <w:r>
              <w:rPr>
                <w:rFonts w:ascii="Arial" w:hAnsi="Arial" w:cs="Arial"/>
                <w:b/>
                <w:bCs/>
              </w:rPr>
              <w:t> </w:t>
            </w:r>
          </w:p>
          <w:p w:rsidR="00000000" w:rsidRDefault="002967CD">
            <w:pPr>
              <w:pStyle w:val="NormalWeb"/>
              <w:numPr>
                <w:ilvl w:val="0"/>
                <w:numId w:val="11"/>
              </w:numPr>
              <w:divId w:val="1691681184"/>
            </w:pPr>
            <w:r>
              <w:t>Artículo 10 de la Ley Nº 3302 de 16 de diciembre de 2005.</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CUARTA. </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left="840" w:hanging="840"/>
              <w:divId w:val="1691681184"/>
              <w:rPr>
                <w:rFonts w:ascii="Arial" w:hAnsi="Arial" w:cs="Arial"/>
                <w:sz w:val="17"/>
                <w:szCs w:val="17"/>
              </w:rPr>
            </w:pPr>
            <w:r>
              <w:rPr>
                <w:rFonts w:ascii="Arial" w:hAnsi="Arial" w:cs="Arial"/>
                <w:b/>
                <w:bCs/>
              </w:rPr>
              <w:t>I.</w:t>
            </w:r>
            <w:r>
              <w:rPr>
                <w:rFonts w:ascii="Arial" w:hAnsi="Arial" w:cs="Arial"/>
              </w:rPr>
              <w:t xml:space="preserve"> </w:t>
            </w:r>
            <w:r>
              <w:rPr>
                <w:rFonts w:ascii="Arial" w:hAnsi="Arial" w:cs="Arial"/>
              </w:rPr>
              <w:tab/>
              <w:t>Quedan modificados el Parágrafo I del Artículo 63, y el Numeral 1 del Parágrafo I del Artículo 66 de la Ley Nº</w:t>
            </w:r>
            <w:r>
              <w:rPr>
                <w:rFonts w:ascii="Arial" w:hAnsi="Arial" w:cs="Arial"/>
              </w:rPr>
              <w:t xml:space="preserve"> 164 de 8 de agosto de 2011.</w:t>
            </w:r>
          </w:p>
          <w:p w:rsidR="00000000" w:rsidRDefault="002967CD">
            <w:pPr>
              <w:pStyle w:val="NormalWeb"/>
              <w:ind w:left="840" w:hanging="840"/>
              <w:divId w:val="1691681184"/>
              <w:rPr>
                <w:rFonts w:ascii="Arial" w:hAnsi="Arial" w:cs="Arial"/>
                <w:sz w:val="17"/>
                <w:szCs w:val="17"/>
              </w:rPr>
            </w:pPr>
            <w:r>
              <w:rPr>
                <w:rFonts w:ascii="Arial" w:hAnsi="Arial" w:cs="Arial"/>
              </w:rPr>
              <w:t> </w:t>
            </w:r>
          </w:p>
          <w:p w:rsidR="00000000" w:rsidRDefault="002967CD">
            <w:pPr>
              <w:pStyle w:val="NormalWeb"/>
              <w:ind w:left="840" w:hanging="840"/>
              <w:divId w:val="1691681184"/>
              <w:rPr>
                <w:rFonts w:ascii="Arial" w:hAnsi="Arial" w:cs="Arial"/>
                <w:sz w:val="17"/>
                <w:szCs w:val="17"/>
              </w:rPr>
            </w:pPr>
            <w:r>
              <w:rPr>
                <w:rFonts w:ascii="Arial" w:hAnsi="Arial" w:cs="Arial"/>
                <w:b/>
                <w:bCs/>
              </w:rPr>
              <w:t xml:space="preserve">II. </w:t>
            </w:r>
            <w:r>
              <w:rPr>
                <w:rFonts w:ascii="Arial" w:hAnsi="Arial" w:cs="Arial"/>
                <w:b/>
                <w:bCs/>
              </w:rPr>
              <w:tab/>
            </w:r>
            <w:r>
              <w:rPr>
                <w:rFonts w:ascii="Arial" w:hAnsi="Arial" w:cs="Arial"/>
              </w:rPr>
              <w:t>Quedan derogados: el Parágrafo III del Artículo 62 y el Parágrafo II del Artículo 63 de la Ley Nº 164 de 8 de agosto de 2011.</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QUINTA.</w:t>
            </w:r>
            <w:r>
              <w:rPr>
                <w:rFonts w:ascii="Arial" w:hAnsi="Arial" w:cs="Arial"/>
              </w:rPr>
              <w:t xml:space="preserve"> Se deroga el Artículo 3 de la Ley Nº 2556 de 12 de noviembre de 2003.</w:t>
            </w:r>
          </w:p>
          <w:p w:rsidR="00000000" w:rsidRDefault="002967CD">
            <w:pPr>
              <w:pStyle w:val="NormalWeb"/>
              <w:ind w:firstLine="840"/>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SEXTA. </w:t>
            </w:r>
            <w:r>
              <w:rPr>
                <w:rFonts w:ascii="Arial" w:hAnsi="Arial" w:cs="Arial"/>
              </w:rPr>
              <w:t>Se au</w:t>
            </w:r>
            <w:r>
              <w:rPr>
                <w:rFonts w:ascii="Arial" w:hAnsi="Arial" w:cs="Arial"/>
              </w:rPr>
              <w:t>toriza al Ministerio de Relaciones Exteriores cubrir el costo de pasajes y viáticos de representantes de Organizaciones Sociales de Bolivia debidamente acreditados, sólo y exclusivamente en los casos en que los eventos oficiales sean en materia de Diplomac</w:t>
            </w:r>
            <w:r>
              <w:rPr>
                <w:rFonts w:ascii="Arial" w:hAnsi="Arial" w:cs="Arial"/>
              </w:rPr>
              <w:t xml:space="preserve">ia de los Pueblos, mismo que deberá ser reglamentado mediante Resolución Bi – Ministerial, emitida por los Ministerios de Relaciones Exteriores, y de Economía y Finanzas Públicas. </w:t>
            </w:r>
          </w:p>
          <w:p w:rsidR="00000000" w:rsidRDefault="002967CD">
            <w:pPr>
              <w:pStyle w:val="NormalWeb"/>
              <w:ind w:firstLine="840"/>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SÉPTIMA. </w:t>
            </w:r>
            <w:r>
              <w:rPr>
                <w:rFonts w:ascii="Arial" w:hAnsi="Arial" w:cs="Arial"/>
              </w:rPr>
              <w:t>El Órgano Ejecutivo, mediante Decreto Supremo reglamentará la pr</w:t>
            </w:r>
            <w:r>
              <w:rPr>
                <w:rFonts w:ascii="Arial" w:hAnsi="Arial" w:cs="Arial"/>
              </w:rPr>
              <w:t>esente Ley.</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jc w:val="center"/>
              <w:divId w:val="1691681184"/>
              <w:rPr>
                <w:rFonts w:ascii="Arial" w:hAnsi="Arial" w:cs="Arial"/>
                <w:sz w:val="17"/>
                <w:szCs w:val="17"/>
              </w:rPr>
            </w:pPr>
            <w:r>
              <w:rPr>
                <w:rFonts w:ascii="Arial" w:hAnsi="Arial" w:cs="Arial"/>
                <w:b/>
                <w:bCs/>
              </w:rPr>
              <w:t>DISPOSICIÓN ABROGATORIA Y DEROGATORIA</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ÚNICA. </w:t>
            </w:r>
            <w:r>
              <w:rPr>
                <w:rFonts w:ascii="Arial" w:hAnsi="Arial" w:cs="Arial"/>
              </w:rPr>
              <w:t>Se abrogan y derogan todas las disposiciones de igual o inferior jerarquía, contrarias a la presente Ley.</w:t>
            </w:r>
          </w:p>
          <w:p w:rsidR="00000000" w:rsidRDefault="002967CD">
            <w:pPr>
              <w:pStyle w:val="NormalWeb"/>
              <w:ind w:firstLine="840"/>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rPr>
              <w:t xml:space="preserve">Quedan sin efecto las disposiciones contrarias a la presente Ley. </w:t>
            </w:r>
          </w:p>
          <w:p w:rsidR="00000000" w:rsidRDefault="002967CD">
            <w:pPr>
              <w:pStyle w:val="NormalWeb"/>
              <w:ind w:firstLine="840"/>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rPr>
              <w:t>Remítase al Ó</w:t>
            </w:r>
            <w:r>
              <w:rPr>
                <w:rFonts w:ascii="Arial" w:hAnsi="Arial" w:cs="Arial"/>
              </w:rPr>
              <w:t>rgano Ejecutivo, para fines constitucionales.</w:t>
            </w:r>
          </w:p>
          <w:p w:rsidR="00000000" w:rsidRDefault="002967CD">
            <w:pPr>
              <w:pStyle w:val="NormalWeb"/>
              <w:ind w:firstLine="840"/>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rPr>
              <w:t>Es dada en la Sala de Sesiones de la Asamblea Legislativa Plurinacional, a los veintiún días del mes de diciembre del año dos mil once.</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rPr>
              <w:t>Fdo. René Oscar Martinez Callahuanca, Hé</w:t>
            </w:r>
            <w:r>
              <w:rPr>
                <w:rFonts w:ascii="Arial" w:hAnsi="Arial" w:cs="Arial"/>
              </w:rPr>
              <w:t xml:space="preserve">ctor Enrique Arce Zaconeta, Zonia Guardia Melgar, Carmen García M., Esteban Ramírez Torrico, Ángel David Cortés Villegas. </w:t>
            </w:r>
          </w:p>
          <w:p w:rsidR="00000000" w:rsidRDefault="002967CD">
            <w:pPr>
              <w:pStyle w:val="NormalWeb"/>
              <w:ind w:firstLine="840"/>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rPr>
              <w:t>Por tanto, la promulgo para que se tenga y cumpla como Ley del Estado Plurlinacional de Bolivia.</w:t>
            </w:r>
          </w:p>
          <w:p w:rsidR="00000000" w:rsidRDefault="002967CD">
            <w:pPr>
              <w:pStyle w:val="NormalWeb"/>
              <w:divId w:val="1691681184"/>
              <w:rPr>
                <w:rFonts w:ascii="Arial" w:hAnsi="Arial" w:cs="Arial"/>
                <w:sz w:val="17"/>
                <w:szCs w:val="17"/>
              </w:rPr>
            </w:pPr>
            <w:r>
              <w:rPr>
                <w:rFonts w:ascii="Arial" w:hAnsi="Arial" w:cs="Arial"/>
              </w:rPr>
              <w:t> </w:t>
            </w:r>
          </w:p>
          <w:p w:rsidR="00000000" w:rsidRDefault="002967CD">
            <w:pPr>
              <w:pStyle w:val="NormalWeb"/>
              <w:ind w:firstLine="840"/>
              <w:divId w:val="1691681184"/>
              <w:rPr>
                <w:rFonts w:ascii="Arial" w:hAnsi="Arial" w:cs="Arial"/>
                <w:sz w:val="17"/>
                <w:szCs w:val="17"/>
              </w:rPr>
            </w:pPr>
            <w:r>
              <w:rPr>
                <w:rFonts w:ascii="Arial" w:hAnsi="Arial" w:cs="Arial"/>
              </w:rPr>
              <w:t>Palacio de Gobierno de la ciudad</w:t>
            </w:r>
            <w:r>
              <w:rPr>
                <w:rFonts w:ascii="Arial" w:hAnsi="Arial" w:cs="Arial"/>
              </w:rPr>
              <w:t xml:space="preserve"> de La Paz, a los veintitrés días del mes de diciembre de dos mil once años.</w:t>
            </w:r>
          </w:p>
          <w:p w:rsidR="00000000" w:rsidRDefault="002967CD">
            <w:pPr>
              <w:pStyle w:val="NormalWeb"/>
              <w:divId w:val="1691681184"/>
              <w:rPr>
                <w:rFonts w:ascii="Arial" w:hAnsi="Arial" w:cs="Arial"/>
                <w:sz w:val="17"/>
                <w:szCs w:val="17"/>
              </w:rPr>
            </w:pPr>
            <w:r>
              <w:rPr>
                <w:rFonts w:ascii="Arial" w:hAnsi="Arial" w:cs="Arial"/>
                <w:b/>
                <w:bCs/>
              </w:rPr>
              <w:t> </w:t>
            </w:r>
          </w:p>
          <w:p w:rsidR="00000000" w:rsidRDefault="002967CD">
            <w:pPr>
              <w:pStyle w:val="NormalWeb"/>
              <w:ind w:firstLine="840"/>
              <w:divId w:val="1691681184"/>
              <w:rPr>
                <w:rFonts w:ascii="Arial" w:hAnsi="Arial" w:cs="Arial"/>
                <w:sz w:val="17"/>
                <w:szCs w:val="17"/>
              </w:rPr>
            </w:pPr>
            <w:r>
              <w:rPr>
                <w:rFonts w:ascii="Arial" w:hAnsi="Arial" w:cs="Arial"/>
                <w:b/>
                <w:bCs/>
              </w:rPr>
              <w:t xml:space="preserve">FDO. ALVARO GARCIA LINERA, </w:t>
            </w:r>
            <w:r>
              <w:rPr>
                <w:rFonts w:ascii="Arial" w:hAnsi="Arial" w:cs="Arial"/>
              </w:rPr>
              <w:t>Carlos Romero Bonifaz, E. Viviana Caro Hinojosa, Luís Alberto Arce Catacora, Ana Teresa Morales Olivera, Walter Juvenal Delgadillo Terceros, José Luís</w:t>
            </w:r>
            <w:r>
              <w:rPr>
                <w:rFonts w:ascii="Arial" w:hAnsi="Arial" w:cs="Arial"/>
              </w:rPr>
              <w:t xml:space="preserve"> Gutiérrez Pérez, José Antonio Pimentel Castillo, Nila Heredia Miranda. </w:t>
            </w:r>
          </w:p>
          <w:p w:rsidR="00000000" w:rsidRDefault="002967CD">
            <w:pPr>
              <w:pStyle w:val="NormalWeb"/>
              <w:spacing w:after="0" w:afterAutospacing="0"/>
              <w:divId w:val="1691681184"/>
              <w:rPr>
                <w:rFonts w:ascii="Arial" w:hAnsi="Arial" w:cs="Arial"/>
                <w:sz w:val="17"/>
                <w:szCs w:val="17"/>
              </w:rPr>
            </w:pPr>
            <w:r>
              <w:rPr>
                <w:rFonts w:ascii="Arial" w:hAnsi="Arial" w:cs="Arial"/>
              </w:rPr>
              <w:t> </w:t>
            </w:r>
          </w:p>
        </w:tc>
      </w:tr>
      <w:tr w:rsidR="00000000">
        <w:trPr>
          <w:tblCellSpacing w:w="15" w:type="dxa"/>
          <w:jc w:val="center"/>
        </w:trPr>
        <w:tc>
          <w:tcPr>
            <w:tcW w:w="0" w:type="auto"/>
            <w:vAlign w:val="center"/>
            <w:hideMark/>
          </w:tcPr>
          <w:p w:rsidR="00000000" w:rsidRDefault="002967CD">
            <w:pPr>
              <w:jc w:val="right"/>
              <w:rPr>
                <w:rFonts w:eastAsia="Times New Roman"/>
                <w:color w:val="auto"/>
              </w:rPr>
            </w:pPr>
          </w:p>
          <w:p w:rsidR="00000000" w:rsidRDefault="002967CD">
            <w:pPr>
              <w:jc w:val="right"/>
              <w:rPr>
                <w:rFonts w:eastAsia="Times New Roman"/>
                <w:color w:val="auto"/>
              </w:rPr>
            </w:pPr>
            <w:r>
              <w:rPr>
                <w:rFonts w:eastAsia="Times New Roman"/>
                <w:color w:val="auto"/>
              </w:rPr>
              <w:pict>
                <v:rect id="_x0000_i1026" style="width:0;height:1.5pt" o:hralign="center" o:hrstd="t" o:hr="t" fillcolor="#a0a0a0" stroked="f"/>
              </w:pict>
            </w:r>
          </w:p>
          <w:p w:rsidR="00000000" w:rsidRDefault="002967CD">
            <w:pPr>
              <w:jc w:val="right"/>
              <w:rPr>
                <w:rFonts w:eastAsia="Times New Roman"/>
                <w:color w:val="auto"/>
              </w:rPr>
            </w:pPr>
            <w:r>
              <w:rPr>
                <w:rStyle w:val="Textoennegrita"/>
                <w:rFonts w:ascii="Arial" w:eastAsia="Times New Roman" w:hAnsi="Arial" w:cs="Arial"/>
                <w:color w:val="auto"/>
                <w:sz w:val="17"/>
                <w:szCs w:val="17"/>
              </w:rPr>
              <w:t>TEXTO DE CONSULTA</w:t>
            </w:r>
            <w:r>
              <w:rPr>
                <w:rStyle w:val="Textoennegrita"/>
                <w:rFonts w:ascii="Arial" w:eastAsia="Times New Roman" w:hAnsi="Arial" w:cs="Arial"/>
                <w:color w:val="auto"/>
                <w:sz w:val="17"/>
                <w:szCs w:val="17"/>
              </w:rPr>
              <w:t xml:space="preserve"> </w:t>
            </w:r>
            <w:r>
              <w:rPr>
                <w:rFonts w:ascii="Arial" w:eastAsia="Times New Roman" w:hAnsi="Arial" w:cs="Arial"/>
                <w:color w:val="auto"/>
                <w:sz w:val="17"/>
                <w:szCs w:val="17"/>
              </w:rPr>
              <w:br/>
              <w:t xml:space="preserve">Gaceta Oficial del Estado Plurinacional de Bolivia </w:t>
            </w:r>
            <w:r>
              <w:rPr>
                <w:rFonts w:ascii="Arial" w:eastAsia="Times New Roman" w:hAnsi="Arial" w:cs="Arial"/>
                <w:color w:val="auto"/>
                <w:sz w:val="17"/>
                <w:szCs w:val="17"/>
              </w:rPr>
              <w:br/>
              <w:t xml:space="preserve">Derechos Reservados © 2012 </w:t>
            </w:r>
            <w:r>
              <w:rPr>
                <w:rFonts w:ascii="Arial" w:eastAsia="Times New Roman" w:hAnsi="Arial" w:cs="Arial"/>
                <w:color w:val="auto"/>
                <w:sz w:val="17"/>
                <w:szCs w:val="17"/>
              </w:rPr>
              <w:br/>
            </w:r>
            <w:r>
              <w:rPr>
                <w:rStyle w:val="Textoennegrita"/>
                <w:rFonts w:ascii="Arial" w:eastAsia="Times New Roman" w:hAnsi="Arial" w:cs="Arial"/>
                <w:color w:val="auto"/>
                <w:sz w:val="17"/>
                <w:szCs w:val="17"/>
              </w:rPr>
              <w:t>www.gacetaoficialdebolivia.gob.b</w:t>
            </w:r>
            <w:r>
              <w:rPr>
                <w:rStyle w:val="Textoennegrita"/>
                <w:rFonts w:ascii="Arial" w:eastAsia="Times New Roman" w:hAnsi="Arial" w:cs="Arial"/>
                <w:color w:val="auto"/>
                <w:sz w:val="17"/>
                <w:szCs w:val="17"/>
              </w:rPr>
              <w:t>o</w:t>
            </w:r>
          </w:p>
        </w:tc>
      </w:tr>
    </w:tbl>
    <w:p w:rsidR="002967CD" w:rsidRDefault="002967CD">
      <w:pPr>
        <w:rPr>
          <w:rFonts w:eastAsia="Times New Roman"/>
          <w:color w:val="auto"/>
        </w:rPr>
      </w:pPr>
    </w:p>
    <w:sectPr w:rsidR="002967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Sans Typewriter">
    <w:panose1 w:val="020B0509030504030204"/>
    <w:charset w:val="00"/>
    <w:family w:val="swiss"/>
    <w:pitch w:val="fixed"/>
    <w:sig w:usb0="01002A87" w:usb1="00000000" w:usb2="00000000" w:usb3="00000000" w:csb0="000100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13914"/>
    <w:multiLevelType w:val="multilevel"/>
    <w:tmpl w:val="C24EDE8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03EF1621"/>
    <w:multiLevelType w:val="multilevel"/>
    <w:tmpl w:val="31D2A62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nsid w:val="05123D6D"/>
    <w:multiLevelType w:val="multilevel"/>
    <w:tmpl w:val="94B8DCA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nsid w:val="0DE23701"/>
    <w:multiLevelType w:val="multilevel"/>
    <w:tmpl w:val="B5621EB8"/>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nsid w:val="18A536FF"/>
    <w:multiLevelType w:val="multilevel"/>
    <w:tmpl w:val="23421A9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nsid w:val="2B120E1D"/>
    <w:multiLevelType w:val="multilevel"/>
    <w:tmpl w:val="5EB848D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nsid w:val="4B5B2AF1"/>
    <w:multiLevelType w:val="multilevel"/>
    <w:tmpl w:val="2272CB4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nsid w:val="55DF03C5"/>
    <w:multiLevelType w:val="multilevel"/>
    <w:tmpl w:val="86E4515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nsid w:val="62855C09"/>
    <w:multiLevelType w:val="multilevel"/>
    <w:tmpl w:val="3544CC4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nsid w:val="64F66F03"/>
    <w:multiLevelType w:val="multilevel"/>
    <w:tmpl w:val="26C0EB7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nsid w:val="7282401B"/>
    <w:multiLevelType w:val="multilevel"/>
    <w:tmpl w:val="0E30AF5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5"/>
  </w:num>
  <w:num w:numId="2">
    <w:abstractNumId w:val="0"/>
  </w:num>
  <w:num w:numId="3">
    <w:abstractNumId w:val="10"/>
  </w:num>
  <w:num w:numId="4">
    <w:abstractNumId w:val="7"/>
  </w:num>
  <w:num w:numId="5">
    <w:abstractNumId w:val="2"/>
  </w:num>
  <w:num w:numId="6">
    <w:abstractNumId w:val="1"/>
  </w:num>
  <w:num w:numId="7">
    <w:abstractNumId w:val="9"/>
  </w:num>
  <w:num w:numId="8">
    <w:abstractNumId w:val="8"/>
  </w:num>
  <w:num w:numId="9">
    <w:abstractNumId w:val="6"/>
  </w:num>
  <w:num w:numId="10">
    <w:abstractNumId w:val="4"/>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4"/>
  </w:compat>
  <w:rsids>
    <w:rsidRoot w:val="00CA2F30"/>
    <w:rsid w:val="002967CD"/>
    <w:rsid w:val="00CA2F3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color w:val="000000"/>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Pr>
      <w:b/>
      <w:bCs/>
    </w:rPr>
  </w:style>
  <w:style w:type="paragraph" w:styleId="NormalWeb">
    <w:name w:val="Normal (Web)"/>
    <w:basedOn w:val="Normal"/>
    <w:uiPriority w:val="99"/>
    <w:unhideWhenUsed/>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color w:val="000000"/>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Pr>
      <w:b/>
      <w:bCs/>
    </w:rPr>
  </w:style>
  <w:style w:type="paragraph" w:styleId="NormalWeb">
    <w:name w:val="Normal (Web)"/>
    <w:basedOn w:val="Normal"/>
    <w:uiPriority w:val="99"/>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168118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8235</Words>
  <Characters>45298</Characters>
  <Application>Microsoft Office Word</Application>
  <DocSecurity>0</DocSecurity>
  <Lines>377</Lines>
  <Paragraphs>106</Paragraphs>
  <ScaleCrop>false</ScaleCrop>
  <HeadingPairs>
    <vt:vector size="2" baseType="variant">
      <vt:variant>
        <vt:lpstr>Título</vt:lpstr>
      </vt:variant>
      <vt:variant>
        <vt:i4>1</vt:i4>
      </vt:variant>
    </vt:vector>
  </HeadingPairs>
  <TitlesOfParts>
    <vt:vector size="1" baseType="lpstr">
      <vt:lpstr>DECRETO SUPREMO N 3453</vt:lpstr>
    </vt:vector>
  </TitlesOfParts>
  <Company/>
  <LinksUpToDate>false</LinksUpToDate>
  <CharactersWithSpaces>53427</CharactersWithSpaces>
  <SharedDoc>false</SharedDoc>
  <HyperlinkBase>C:\Documents and Settings\Encargado Sistemas\Escritorio\GACETA\328NEC\</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SUPREMO N 3453</dc:title>
  <dc:creator>Daniel Flores Lazcano</dc:creator>
  <cp:lastModifiedBy>Daniel Flores Lazcano</cp:lastModifiedBy>
  <cp:revision>2</cp:revision>
  <dcterms:created xsi:type="dcterms:W3CDTF">2013-01-07T19:23:00Z</dcterms:created>
  <dcterms:modified xsi:type="dcterms:W3CDTF">2013-01-07T19:23:00Z</dcterms:modified>
</cp:coreProperties>
</file>