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184E0B" w14:textId="13FBA4A5" w:rsidR="00146F7E" w:rsidRDefault="00BB2A7B" w:rsidP="00AB1CBE">
      <w:bookmarkStart w:id="0" w:name="_Hlk206793883"/>
      <w:r>
        <w:t>Title: AI genetic</w:t>
      </w:r>
      <w:r w:rsidR="006011BA">
        <w:t>s</w:t>
      </w:r>
      <w:r>
        <w:t xml:space="preserve"> for Alzheimer's disease prediction.</w:t>
      </w:r>
    </w:p>
    <w:p w14:paraId="5BC8393A" w14:textId="1AF1E539" w:rsidR="00875237" w:rsidRDefault="00875237" w:rsidP="00D934CF">
      <w:pPr>
        <w:pStyle w:val="Paragraph"/>
        <w:ind w:firstLine="0"/>
      </w:pPr>
      <w:r>
        <w:t>Alzheimer's disease</w:t>
      </w:r>
      <w:r w:rsidR="0076367E">
        <w:t xml:space="preserve"> (AD)</w:t>
      </w:r>
      <w:r>
        <w:t xml:space="preserve"> affects millions of people worldwide and is the most common cause of dementia in older </w:t>
      </w:r>
      <w:r w:rsidR="004A2EDA">
        <w:t>adults. The</w:t>
      </w:r>
      <w:r>
        <w:t xml:space="preserve"> disease has a strong genetic component, with </w:t>
      </w:r>
      <w:r w:rsidR="0076367E">
        <w:t>studies</w:t>
      </w:r>
      <w:r>
        <w:t xml:space="preserve"> identifying numerous genetic variants that can increase or decrease </w:t>
      </w:r>
      <w:r w:rsidR="0076367E">
        <w:t>the risk</w:t>
      </w:r>
      <w:r>
        <w:t xml:space="preserve"> of developing </w:t>
      </w:r>
      <w:r w:rsidR="0076367E">
        <w:t>AD</w:t>
      </w:r>
      <w:r>
        <w:t xml:space="preserve">. Traditional </w:t>
      </w:r>
      <w:r w:rsidR="0076367E">
        <w:t xml:space="preserve">genetic-based </w:t>
      </w:r>
      <w:r>
        <w:t>methods for predicting A</w:t>
      </w:r>
      <w:r w:rsidR="0076367E">
        <w:t xml:space="preserve">D </w:t>
      </w:r>
      <w:r>
        <w:t>risk have limited accuracy because the disease involves complex interactions between multiple genes and environmental factors. Artificial intelligence</w:t>
      </w:r>
      <w:r w:rsidR="0076367E">
        <w:t xml:space="preserve"> (AI)</w:t>
      </w:r>
      <w:r>
        <w:t xml:space="preserve"> and machine learning offer new ways to analyze large amounts of genetic data and find patterns that </w:t>
      </w:r>
      <w:r w:rsidR="0076367E">
        <w:t>have not been identified before</w:t>
      </w:r>
      <w:r>
        <w:t xml:space="preserve">. These AI systems can process genetic information from thousands of </w:t>
      </w:r>
      <w:r w:rsidR="0076367E">
        <w:t>individuals</w:t>
      </w:r>
      <w:r>
        <w:t xml:space="preserve"> to identify combinations of genetic markers that predict </w:t>
      </w:r>
      <w:r w:rsidR="0076367E">
        <w:t>AD</w:t>
      </w:r>
      <w:r>
        <w:t xml:space="preserve"> risk more accurately than single gene tests. Early prediction of </w:t>
      </w:r>
      <w:r w:rsidR="0076367E">
        <w:t>AD</w:t>
      </w:r>
      <w:r>
        <w:t xml:space="preserve"> is </w:t>
      </w:r>
      <w:r w:rsidR="0076367E">
        <w:t xml:space="preserve">crucial as </w:t>
      </w:r>
      <w:r>
        <w:t xml:space="preserve">it can help </w:t>
      </w:r>
      <w:r w:rsidR="0076367E">
        <w:t>practitioners to</w:t>
      </w:r>
      <w:r>
        <w:t xml:space="preserve"> start treatments sooner and help patients </w:t>
      </w:r>
      <w:r w:rsidR="0076367E">
        <w:t>in time</w:t>
      </w:r>
      <w:r>
        <w:t>. Recent advances in AI have made it possible to combine genetic data with other types of information like brain scans and cognitive test results to improve prediction accuracy</w:t>
      </w:r>
      <w:r w:rsidR="0076367E">
        <w:t xml:space="preserve">. </w:t>
      </w:r>
    </w:p>
    <w:p w14:paraId="1E3400CF" w14:textId="6A4F887D" w:rsidR="00872960" w:rsidRDefault="00872960" w:rsidP="00872960">
      <w:pPr>
        <w:pStyle w:val="Heading1"/>
      </w:pPr>
      <w:r>
        <w:t>Machine learning approaches and algorithms</w:t>
      </w:r>
    </w:p>
    <w:p w14:paraId="5ABA300D" w14:textId="1D87EB7C" w:rsidR="0076367E" w:rsidRDefault="00872960" w:rsidP="003C3E7C">
      <w:pPr>
        <w:pStyle w:val="Paragraph"/>
      </w:pPr>
      <w:r>
        <w:t xml:space="preserve">Machine learning offers several powerful approaches for predicting </w:t>
      </w:r>
      <w:r w:rsidR="00CA0AAC">
        <w:t>AD</w:t>
      </w:r>
      <w:r>
        <w:t xml:space="preserve"> from genetic data, with performance varying significantly across different methods and datasets</w:t>
      </w:r>
      <w:r w:rsidR="00EC6A05">
        <w:t xml:space="preserve"> </w:t>
      </w:r>
      <w:r w:rsidR="00EC6A05">
        <w:fldChar w:fldCharType="begin"/>
      </w:r>
      <w:r w:rsidR="00EC6A05">
        <w:instrText xml:space="preserve"> ADDIN ZOTERO_ITEM CSL_CITATION {"citationID":"2jUy87Qe","properties":{"formattedCitation":"[1], [2]","plainCitation":"[1], [2]","noteIndex":0},"citationItems":[{"id":881,"uris":["http://zotero.org/users/14116543/items/QELW2MV8"],"itemData":{"id":881,"type":"article-journal","abstract":"Abstract\n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sidR="00EC6A05">
        <w:rPr>
          <w:rFonts w:ascii="Cambria Math" w:hAnsi="Cambria Math" w:cs="Cambria Math"/>
        </w:rPr>
        <w:instrText>∼</w:instrText>
      </w:r>
      <w:r w:rsidR="00EC6A05">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Alzheimer’s"}],"accessed":{"date-parts":[["2025",8,22]]},"issued":{"date-parts":[["2019",12]]}}},{"id":883,"uris":["http://zotero.org/users/14116543/items/Y6PFPYYA"],"itemData":{"id":883,"type":"article-journal","container-title":"Aging and disease","DOI":"10.14336/AD.2020.0312","ISSN":"2152-5250","issue":"6","journalAbbreviation":"Aging and disease","language":"en","page":"1567","source":"DOI.org (Crossref)","title":"The Application of Artificial Intelligence in the Genetic Study of Alzheimer’s Disease","URL":"http://www.aginganddisease.org/EN/10.14336/AD.2020.0312","volume":"11","author":[{"family":"Mishra","given":"Rohan"},{"family":"Li","given":"Bin"}],"accessed":{"date-parts":[["2025",8,22]]},"issued":{"date-parts":[["2020"]]}}}],"schema":"https://github.com/citation-style-language/schema/raw/master/csl-citation.json"} </w:instrText>
      </w:r>
      <w:r w:rsidR="00EC6A05">
        <w:fldChar w:fldCharType="separate"/>
      </w:r>
      <w:r w:rsidR="00EC6A05" w:rsidRPr="00EC6A05">
        <w:rPr>
          <w:rFonts w:cs="Times New Roman"/>
        </w:rPr>
        <w:t>[1], [2]</w:t>
      </w:r>
      <w:r w:rsidR="00EC6A05">
        <w:fldChar w:fldCharType="end"/>
      </w:r>
      <w:r w:rsidR="00EC6A05">
        <w:t xml:space="preserve">. </w:t>
      </w:r>
      <w:r>
        <w:t xml:space="preserve">Traditional machine learning algorithms like Support Vector Machine (SVM), Random Forest, and logistic regression have been widely applied to genetic datasets, with reported classification accuracies ranging from 0.65 to 0.975, though realistic performance expectations are more modest </w:t>
      </w:r>
      <w:r w:rsidR="00EC6A05">
        <w:fldChar w:fldCharType="begin"/>
      </w:r>
      <w:r w:rsidR="00936C16">
        <w:instrText xml:space="preserve"> ADDIN ZOTERO_ITEM CSL_CITATION {"citationID":"i6FlmuSK","properties":{"formattedCitation":"[3], [4], [5], [6]","plainCitation":"[3], [4], [5], [6]","noteIndex":0},"citationItems":[{"id":885,"uris":["http://zotero.org/users/14116543/items/TSAYP8X3"],"itemData":{"id":885,"type":"article-journal","abstract":"Abstract\n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Initiative"}],"accessed":{"date-parts":[["2025",8,22]]},"issued":{"date-parts":[["2021",6,23]]}}},{"id":887,"uris":["http://zotero.org/users/14116543/items/6MUZCE7R"],"itemData":{"id":887,"type":"article-journal","container-title":"BMC Medical Genetics","DOI":"10.1186/1471-2350-13-7","ISSN":"1471-2350","issue":"1","journalAbbreviation":"BMC Med Genet","language":"en","license":"http://www.springer.com/tdm","page":"7","source":"DOI.org (Crossref)","title":"Data mining of high density genomic variant data for prediction of Alzheimer's disease risk","URL":"http://bmcmedgenet.biomedcentral.com/articles/10.1186/1471-2350-13-7","volume":"13","author":[{"family":"Briones","given":"Natalia"},{"family":"Dinu","given":"Valentin"}],"accessed":{"date-parts":[["2025",8,22]]},"issued":{"date-parts":[["2012",12]]}}},{"id":889,"uris":["http://zotero.org/users/14116543/items/7N53HMTX"],"itemData":{"id":889,"type":"article-journal","container-title":"BMC Genomics","DOI":"10.1186/1471-2164-16-S2-S5","ISSN":"1471-2164","issue":"S2","journalAbbreviation":"BMC Genomics","language":"en","page":"S5","source":"DOI.org (Crossref)","title":"Genome-wide association data classification and SNPs selection using two-stage quality-based Random Forests","URL":"https://bmcgenomics.biomedcentral.com/articles/10.1186/1471-2164-16-S2-S5","volume":"16","author":[{"family":"Nguyen","given":"Thanh-Tung"},{"family":"Huang","given":"Joshua Zhexue"},{"family":"Wu","given":"Qingyao"},{"family":"Nguyen","given":"Thuy Thi"},{"family":"Li","given":"Mark Junjie"}],"accessed":{"date-parts":[["2025",8,22]]},"issued":{"date-parts":[["2015",12]]}}},{"id":891,"uris":["http://zotero.org/users/14116543/items/MZKPLKT6"],"itemData":{"id":891,"type":"article-journal","container-title":"BMC Genomics","DOI":"10.1186/1471-2164-15-282","ISSN":"1471-2164","issue":"1","journalAbbreviation":"BMC Genomics","language":"en","page":"282","source":"DOI.org (Crossref)","title":"The application of network label propagation to rank biomarkers in genome-wide Alzheimer’s data","URL":"http://bmcgenomics.biomedcentral.com/articles/10.1186/1471-2164-15-282","volume":"15","author":[{"family":"Stokes","given":"Matthew E"},{"family":"Barmada","given":"M"},{"family":"Kamboh","given":"M"},{"family":"Visweswaran","given":"Shyam"}],"accessed":{"date-parts":[["2025",8,22]]},"issued":{"date-parts":[["2014"]]}}}],"schema":"https://github.com/citation-style-language/schema/raw/master/csl-citation.json"} </w:instrText>
      </w:r>
      <w:r w:rsidR="00EC6A05">
        <w:fldChar w:fldCharType="separate"/>
      </w:r>
      <w:r w:rsidR="00936C16" w:rsidRPr="00936C16">
        <w:rPr>
          <w:rFonts w:cs="Times New Roman"/>
        </w:rPr>
        <w:t>[3], [4], [5], [6]</w:t>
      </w:r>
      <w:r w:rsidR="00EC6A05">
        <w:fldChar w:fldCharType="end"/>
      </w:r>
      <w:r>
        <w:t xml:space="preserve">. Recent studies have achieved notable results, with SVM models reaching 89% accuracy in detecting </w:t>
      </w:r>
      <w:r w:rsidR="00CA0AAC">
        <w:t>AD</w:t>
      </w:r>
      <w:r>
        <w:t xml:space="preserve"> using genome-wide association study data </w:t>
      </w:r>
      <w:r w:rsidR="00936C16">
        <w:fldChar w:fldCharType="begin"/>
      </w:r>
      <w:r w:rsidR="00936C16">
        <w:instrText xml:space="preserve"> ADDIN ZOTERO_ITEM CSL_CITATION {"citationID":"jljjUykV","properties":{"formattedCitation":"[7]","plainCitation":"[7]","noteIndex":0},"citationItems":[{"id":893,"uris":["http://zotero.org/users/14116543/items/EJCVB7IX"],"itemData":{"id":893,"type":"article-journal","container-title":"IEEE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schema":"https://github.com/citation-style-language/schema/raw/master/csl-citation.json"} </w:instrText>
      </w:r>
      <w:r w:rsidR="00936C16">
        <w:fldChar w:fldCharType="separate"/>
      </w:r>
      <w:r w:rsidR="00936C16" w:rsidRPr="00936C16">
        <w:rPr>
          <w:rFonts w:cs="Times New Roman"/>
        </w:rPr>
        <w:t>[7]</w:t>
      </w:r>
      <w:r w:rsidR="00936C16">
        <w:fldChar w:fldCharType="end"/>
      </w:r>
      <w:r w:rsidR="00936C16">
        <w:t xml:space="preserve">. </w:t>
      </w:r>
      <w:r>
        <w:t xml:space="preserve">Deep learning approaches are increasingly being used to handle the complexity of genetic data, though they face challenges when working with genetic variants alone </w:t>
      </w:r>
      <w:r w:rsidR="009C428B">
        <w:fldChar w:fldCharType="begin"/>
      </w:r>
      <w:r w:rsidR="009C428B">
        <w:instrText xml:space="preserve"> ADDIN ZOTERO_ITEM CSL_CITATION {"citationID":"fouMyBQA","properties":{"formattedCitation":"[8]","plainCitation":"[8]","noteIndex":0},"citationItems":[{"id":895,"uris":["http://zotero.org/users/14116543/items/9L9KWIMF"],"itemData":{"id":895,"type":"article-journal","abstract":"Alzheimer’s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rsidR="009C428B">
        <w:fldChar w:fldCharType="separate"/>
      </w:r>
      <w:r w:rsidR="009C428B" w:rsidRPr="009C428B">
        <w:rPr>
          <w:rFonts w:cs="Times New Roman"/>
        </w:rPr>
        <w:t>[8]</w:t>
      </w:r>
      <w:r w:rsidR="009C428B">
        <w:fldChar w:fldCharType="end"/>
      </w:r>
      <w:r>
        <w:t xml:space="preserve">. Novel deep learning frameworks like Deep-Block use multi-stage approaches that incorporate biological knowledge, combining genome segmentation based on linkage patterns with attention mechanisms and ensemble methods to identify genetic regions associated with </w:t>
      </w:r>
      <w:r w:rsidR="00CA0AAC">
        <w:t>AD</w:t>
      </w:r>
      <w:r>
        <w:t xml:space="preserve"> </w:t>
      </w:r>
      <w:r w:rsidR="003A63CD">
        <w:fldChar w:fldCharType="begin"/>
      </w:r>
      <w:r w:rsidR="003A63CD">
        <w:instrText xml:space="preserve"> ADDIN ZOTERO_ITEM CSL_CITATION {"citationID":"5zQYAhAC","properties":{"formattedCitation":"[9]","plainCitation":"[9]","noteIndex":0},"citationItems":[{"id":898,"uris":["http://zotero.org/users/14116543/items/IMRLT6W3"],"itemData":{"id":898,"type":"article-journal","abstract":"Abstract\n            \n              INTRODUCTION\n              The exponential growth of genomic datasets necessitates advanced analytical tools to effectively identify genetic loci from large‐scale high throughput sequencing data. This study presents Deep‐Block, a multi‐stage deep learning framework that incorporates biological knowledge into its AI architecture to identify genetic regions as significantly associated with Alzheimer's disease (AD). The framework employs a three‐stage approach: (1) genome segmentation based on linkage disequilibrium (LD) patterns, (2) selection of relevant LD blocks using sparse attention mechanisms, and (3) application of TabNet and Random Forest algorithms to quantify single nucleotide polymorphism (SNP) feature importance, thereby identifying genetic factors contributing to AD risk.\n            \n            \n              METHODS\n              The Deep‐Block was applied to a large‐scale whole genome sequencing (WGS) dataset from the Alzheimer's Disease Sequencing Project (ADSP), comprising 7416 non‐Hispanic white (NHW) participants (3150 cognitively normal older adults (CN), 4266 AD).\n            \n            \n              RESULTS\n              \n                30,218 LD blocks were identified and then ranked based on their relevance with Alzheimer's disease. Subsequently, the Deep‐Block identified novel SNPs within the top 1500 LD blocks and confirmed previously known variants, including\n                APOE\n                rs429358 and rs769449. Expression Quantitative Trait Loci (eQTL) analysis across 13 brain regions provided functional evidence for the identified variants. The results were cross‐validated against established AD‐associated loci from the European Alzheimer's and Dementia Biobank (EADB) and the GWAS catalog.\n              \n            \n            \n              DISCUSSION\n              The Deep‐Block framework effectively processes large‐scale high throughput sequencing data while preserving SNP interactions during dimensionality reduction, minimizing bias and information loss. The framework's findings are supported by tissue‐specific eQTL evidence across brain regions, indicating the functional relevance of the identified variants. Additionally, the Deep‐Block approach has identified both known and novel genetic variants, enhancing our understanding of the genetic architecture and demonstrating its potential for application in large‐scale sequencing studies.\n            \n            \n              Highlights\n              \n                \n                  \n                    Growing genomic datasets require advanced tools to identify genetic loci in sequencing.\n                  \n                  \n                    Deep‐Block, a novel AI framework, was used to process large‐scale ADSP WGS data.\n                  \n                  \n                    Deep‐Block identified both known and novel AD‐associated genetic loci.\n                  \n                  \n                    \n                      rs429358 (\n                      APOE\n                      ) was key; rs11556505 (\n                      TOMM40\n                      ), rs34342646 (\n                      NECTIN2\n                      ) were significant.\n                    \n                  \n                  \n                    The AI framework uses biological knowledge to enhance detection of Alzheimer's loci.","container-title":"Alzheimer's &amp; Dementia: Translational Research &amp; Clinical Interventions","DOI":"10.1002/trc2.70041","ISSN":"2352-8737, 2352-8737","issue":"1","journalAbbreviation":"A&amp;D Transl Res &amp; Clin Interv","language":"en","page":"e70041","source":"DOI.org (Crossref)","title":"LD‐informed deep learning for Alzheimer's gene loci detection using WGS data","URL":"https://alz-journals.onlinelibrary.wiley.com/doi/10.1002/trc2.70041","volume":"11","author":[{"family":"Jo","given":"Taeho"},{"family":"Bice","given":"Paula"},{"family":"Nho","given":"Kwangsik"},{"family":"Saykin","given":"Andrew J."},{"literal":"Alzheimer's Disease Sequencing Project"}],"accessed":{"date-parts":[["2025",8,22]]},"issued":{"date-parts":[["2025",1]]}}}],"schema":"https://github.com/citation-style-language/schema/raw/master/csl-citation.json"} </w:instrText>
      </w:r>
      <w:r w:rsidR="003A63CD">
        <w:fldChar w:fldCharType="separate"/>
      </w:r>
      <w:r w:rsidR="003A63CD" w:rsidRPr="003A63CD">
        <w:rPr>
          <w:rFonts w:cs="Times New Roman"/>
        </w:rPr>
        <w:t>[9]</w:t>
      </w:r>
      <w:r w:rsidR="003A63CD">
        <w:fldChar w:fldCharType="end"/>
      </w:r>
      <w:r>
        <w:t xml:space="preserve">. Other innovative approaches include transformer-based models that preserve the sequence structure of genetic variants and use uncertainty estimation to improve prediction reliability </w:t>
      </w:r>
      <w:r w:rsidR="003A63CD">
        <w:fldChar w:fldCharType="begin"/>
      </w:r>
      <w:r w:rsidR="003A63CD">
        <w:instrText xml:space="preserve"> ADDIN ZOTERO_ITEM CSL_CITATION {"citationID":"Nm7y7li4","properties":{"formattedCitation":"[10]","plainCitation":"[10]","noteIndex":0},"citationItems":[{"id":900,"uris":["http://zotero.org/users/14116543/items/GEFG294N"],"itemData":{"id":900,"type":"article","abstract":"INTRODUCTION: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rsidR="003A63CD">
        <w:fldChar w:fldCharType="separate"/>
      </w:r>
      <w:r w:rsidR="003A63CD" w:rsidRPr="003A63CD">
        <w:rPr>
          <w:rFonts w:cs="Times New Roman"/>
        </w:rPr>
        <w:t>[10]</w:t>
      </w:r>
      <w:r w:rsidR="003A63CD">
        <w:fldChar w:fldCharType="end"/>
      </w:r>
      <w:r>
        <w:t>.</w:t>
      </w:r>
      <w:r w:rsidR="003C3E7C">
        <w:t xml:space="preserve"> </w:t>
      </w:r>
      <w:r>
        <w:t xml:space="preserve">The trend in machine learning for </w:t>
      </w:r>
      <w:r w:rsidR="00CA0AAC">
        <w:t>AD</w:t>
      </w:r>
      <w:r>
        <w:t xml:space="preserve"> prediction is moving toward multi-feature datasets rather than single biomarker approaches, with AI systems trained on combinations of genetic, neuroimaging, and clinical data </w:t>
      </w:r>
      <w:r w:rsidR="003A63CD">
        <w:fldChar w:fldCharType="begin"/>
      </w:r>
      <w:r w:rsidR="003A63CD">
        <w:instrText xml:space="preserve"> ADDIN ZOTERO_ITEM CSL_CITATION {"citationID":"ItgmZPVQ","properties":{"formattedCitation":"[11],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3A63CD">
        <w:fldChar w:fldCharType="separate"/>
      </w:r>
      <w:r w:rsidR="003A63CD" w:rsidRPr="003A63CD">
        <w:rPr>
          <w:rFonts w:cs="Times New Roman"/>
        </w:rPr>
        <w:t>[11], [12]</w:t>
      </w:r>
      <w:r w:rsidR="003A63CD">
        <w:fldChar w:fldCharType="end"/>
      </w:r>
      <w:r>
        <w:t xml:space="preserve">. Recent work has also </w:t>
      </w:r>
      <w:r>
        <w:lastRenderedPageBreak/>
        <w:t xml:space="preserve">developed specialized AI tools like AD-GPT, which combines large language models with biomedical data to enhance genetic information retrieval and analysis for </w:t>
      </w:r>
      <w:r w:rsidR="00CA0AAC">
        <w:t>AD</w:t>
      </w:r>
      <w:r>
        <w:t xml:space="preserve"> research </w:t>
      </w:r>
      <w:r w:rsidR="003A63CD">
        <w:fldChar w:fldCharType="begin"/>
      </w:r>
      <w:r w:rsidR="003A63CD">
        <w:instrText xml:space="preserve"> ADDIN ZOTERO_ITEM CSL_CITATION {"citationID":"aYWRkds4","properties":{"formattedCitation":"[13]","plainCitation":"[13]","noteIndex":0},"citationItems":[{"id":905,"uris":["http://zotero.org/users/14116543/items/2Z9837DT"],"itemData":{"id":905,"type":"article","abstract":"Large language models (LLMs) have emerged as powerful tools for medical information retrieval, yet their accuracy and depth remain limited in specialized domains such as Alzheimer's disease (AD), a growing global health challenge. To address this gap, we introduce AD-GPT, a domain-specific generative pre-trained transformer designed to enhance the retrieval and analysis of AD-related genetic and neurobiological information. AD-GPT integrates diverse biomedical data sources, including potential AD-associated genes, molecular genetic information, and key gene variants linked to brain regions. We develop a stacked LLM architecture combining Llama3 and BERT, optimized for four critical tasks in AD research: (1) genetic information retrieval, (2) gene-brain region relationship assessment, (3) gene-AD relationship analysis, and (4) brain region-AD relationship mapping. Comparative evaluations against state-of-the-art LLMs demonstrate AD-GPT's superior precision and reliability across these tasks, underscoring its potential as a robust and specialized AI tool for advancing AD research and biomarker discovery.","DOI":"10.48550/ARXIV.2504.03071","license":"Creative Commons Attribution Non Commercial No Derivatives 4.0 International","note":"version: 1","publisher":"arXiv","source":"DOI.org (Datacite)","title":"AD-GPT: Large Language Models in Alzheimer's Disease","title-short":"AD-GPT","URL":"https://arxiv.org/abs/2504.03071","author":[{"family":"Liu","given":"Ziyu"},{"family":"Tang","given":"Lintao"},{"family":"Sun","given":"Zeliang"},{"family":"Liu","given":"Zhengliang"},{"family":"Lyu","given":"Yanjun"},{"family":"Ruan","given":"Wei"},{"family":"Xu","given":"Yangshuang"},{"family":"Shan","given":"Liang"},{"family":"Shin","given":"Jiyoon"},{"family":"Chen","given":"Xiaohe"},{"family":"Zhu","given":"Dajiang"},{"family":"Liu","given":"Tianming"},{"family":"Liu","given":"Rongjie"},{"family":"Huang","given":"Chao"}],"accessed":{"date-parts":[["2025",8,22]]},"issued":{"date-parts":[["2025"]]}}}],"schema":"https://github.com/citation-style-language/schema/raw/master/csl-citation.json"} </w:instrText>
      </w:r>
      <w:r w:rsidR="003A63CD">
        <w:fldChar w:fldCharType="separate"/>
      </w:r>
      <w:r w:rsidR="003A63CD" w:rsidRPr="003A63CD">
        <w:rPr>
          <w:rFonts w:cs="Times New Roman"/>
        </w:rPr>
        <w:t>[13]</w:t>
      </w:r>
      <w:r w:rsidR="003A63CD">
        <w:fldChar w:fldCharType="end"/>
      </w:r>
      <w:r>
        <w:t xml:space="preserve">. However, researchers acknowledge that current dataset sizes limit expected performance to between 0.55 and 0.7 AUC for genetic-only prediction models, with higher reported accuracies often resulting from overfitting </w:t>
      </w:r>
      <w:r w:rsidR="00C66A1C" w:rsidRPr="00C66A1C">
        <w:rPr>
          <w:rFonts w:cs="Times New Roman"/>
        </w:rPr>
        <w:t>[3]</w:t>
      </w:r>
      <w:r>
        <w:t>.</w:t>
      </w:r>
      <w:r w:rsidR="009931B9">
        <w:t xml:space="preserve"> </w:t>
      </w:r>
    </w:p>
    <w:p w14:paraId="43141447" w14:textId="77777777" w:rsidR="00D677A9" w:rsidRDefault="00D677A9" w:rsidP="003C3E7C">
      <w:pPr>
        <w:pStyle w:val="Paragraph"/>
        <w:rPr>
          <w:noProof/>
        </w:rPr>
      </w:pPr>
    </w:p>
    <w:p w14:paraId="56565175" w14:textId="35C41DE4" w:rsidR="00D677A9" w:rsidRDefault="0097063B" w:rsidP="000B1527">
      <w:pPr>
        <w:pStyle w:val="Paragraph"/>
      </w:pPr>
      <w:r>
        <w:rPr>
          <w:noProof/>
        </w:rPr>
        <w:drawing>
          <wp:inline distT="0" distB="0" distL="0" distR="0" wp14:anchorId="2BE46895" wp14:editId="0FA27B36">
            <wp:extent cx="5943600" cy="3906520"/>
            <wp:effectExtent l="0" t="0" r="0" b="0"/>
            <wp:docPr id="1004034444" name="Picture 3" descr="A diagram of a dna and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4444" name="Picture 3" descr="A diagram of a dna and brai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r w:rsidR="00D677A9" w:rsidRPr="0024618F">
        <w:rPr>
          <w:i/>
          <w:iCs/>
          <w:u w:val="single"/>
        </w:rPr>
        <w:t xml:space="preserve">Figure </w:t>
      </w:r>
      <w:r w:rsidR="00D677A9" w:rsidRPr="0024618F">
        <w:rPr>
          <w:i/>
          <w:iCs/>
          <w:u w:val="single"/>
        </w:rPr>
        <w:t>1</w:t>
      </w:r>
      <w:r w:rsidR="00D677A9" w:rsidRPr="00D677A9">
        <w:t>. AI-driven genetic approach for Alzheimer’s disease risk prediction</w:t>
      </w:r>
      <w:r w:rsidR="004E30C4">
        <w:t xml:space="preserve">[at the end of the </w:t>
      </w:r>
      <w:r w:rsidR="00C957FF">
        <w:t>document</w:t>
      </w:r>
      <w:r w:rsidR="004E30C4">
        <w:t>]</w:t>
      </w:r>
      <w:r w:rsidR="00D677A9" w:rsidRPr="00D677A9">
        <w:t>.</w:t>
      </w:r>
    </w:p>
    <w:p w14:paraId="3909ADCE" w14:textId="7BF97884" w:rsidR="009931B9" w:rsidRDefault="009931B9" w:rsidP="009931B9">
      <w:pPr>
        <w:pStyle w:val="Heading1"/>
      </w:pPr>
      <w:r>
        <w:t>Performance and accuracy metrics</w:t>
      </w:r>
    </w:p>
    <w:p w14:paraId="11D3B99B" w14:textId="50F527CE" w:rsidR="0089336D" w:rsidRDefault="009931B9" w:rsidP="009931B9">
      <w:pPr>
        <w:pStyle w:val="Paragraph"/>
      </w:pPr>
      <w:r>
        <w:t xml:space="preserve">Performance metrics for genetic AI prediction of AD vary widely across studies, with reported accuracies ranging from 59% to 99% AUC depending on the methodology and data types used </w:t>
      </w:r>
      <w:r>
        <w:fldChar w:fldCharType="begin"/>
      </w:r>
      <w:r>
        <w:instrText xml:space="preserve"> ADDIN ZOTERO_ITEM CSL_CITATION {"citationID":"tmfuCaho","properties":{"formattedCitation":"[14]","plainCitation":"[14]","noteIndex":0},"citationItems":[{"id":906,"uris":["http://zotero.org/users/14116543/items/BFYC9QXQ"],"itemData":{"id":906,"type":"article-journal","container-title":"IEEE Access","DOI":"10.1109/ACCESS.2022.3182543","ISSN":"2169-3536","journalAbbreviation":"IEEE Access","license":"https://creativecommons.org/licenses/by/4.0/legalcode","page":"62831-62847","source":"DOI.org (Crossref)","title":"Machine Learning Approaches and Applications in Genome Wide Association Study for Alzheimer’s Disease: A Systematic Review","title-short":"Machine Learning Approaches and Applications in Genome Wide Association Study for Alzheimer’s Disease","URL":"https://ieeexplore.ieee.org/document/9794643/","volume":"10","author":[{"family":"Alatrany","given":"Abbas Saad"},{"family":"Hussain","given":"Abir Jaafar"},{"family":"Mustafina","given":"Jamila"},{"family":"Al-Jumeily","given":"Dhiya"}],"accessed":{"date-parts":[["2025",8,22]]},"issued":{"date-parts":[["2022"]]}}}],"schema":"https://github.com/citation-style-language/schema/raw/master/csl-citation.json"} </w:instrText>
      </w:r>
      <w:r>
        <w:fldChar w:fldCharType="separate"/>
      </w:r>
      <w:r w:rsidRPr="009931B9">
        <w:rPr>
          <w:rFonts w:cs="Times New Roman"/>
        </w:rPr>
        <w:t>[14]</w:t>
      </w:r>
      <w:r>
        <w:fldChar w:fldCharType="end"/>
      </w:r>
      <w:r>
        <w:t xml:space="preserve">. However, studies suggest that realistic expectations for genetic only prediction models should be between 0.55 and 0.7 AUC given current datasets sizes., with higher reported accuracies likely results from overfitting </w:t>
      </w:r>
      <w:r>
        <w:fldChar w:fldCharType="begin"/>
      </w:r>
      <w:r>
        <w:instrText xml:space="preserve"> ADDIN ZOTERO_ITEM CSL_CITATION {"citationID":"vnQNLRyT","properties":{"formattedCitation":"[3]","plainCitation":"[3]","noteIndex":0},"citationItems":[{"id":885,"uris":["http://zotero.org/users/14116543/items/TSAYP8X3"],"itemData":{"id":885,"type":"article-journal","abstract":"Abstract\n            Despite great increase of the amount of data from genome-wide association studies (GWAS) and whole-genome sequencing (WGS), the genetic background of a partially heritable Alzheimer’s disease (AD) is not fully understood yet. Machine learning methods are expected to help researchers in the analysis of the large number of SNPs possibly associated with the disease onset. To date, a number of such approaches were applied to genotype-based classification of AD patients and healthy controls using GWAS data and reported accuracy of 0.65–0.975. However, since the estimated influence of genotype on sporadic AD occurrence is lower than that, these very high classification accuracies may potentially be a result of overfitting. We have explored the possibilities of applying feature selection and classification using random forests to WGS and GWAS data from two datasets. Our results suggest that this approach is prone to overfitting if feature selection is performed before division of data into the training and testing set. Therefore, we recommend avoiding selection of features used to build the model based on data included in the testing set. We suggest that for currently available dataset sizes the expected classifier performance is between 0.55 and 0.7 (AUC) and higher accuracies reported in literature are likely a result of overfitting.","container-title":"NAR Genomics and Bioinformatics","DOI":"10.1093/nargab/lqab069","ISSN":"2631-9268","issue":"3","language":"en","license":"http://creativecommons.org/licenses/by-nc/4.0/","page":"lqab069","source":"DOI.org (Crossref)","title":"Careful feature selection is key in classification of Alzheimer’s disease patients based on whole-genome sequencing data","URL":"https://academic.oup.com/nargab/article/doi/10.1093/nargab/lqab069/6329081","volume":"3","author":[{"family":"Osipowicz","given":"Marlena"},{"family":"Wilczynski","given":"Bartek"},{"family":"Machnicka","given":"Magdalena A"},{"literal":"for the Alzheimer’s Disease Neuroimaging Initiative"}],"accessed":{"date-parts":[["2025",8,22]]},"issued":{"date-parts":[["2021",6,23]]}}}],"schema":"https://github.com/citation-style-language/schema/raw/master/csl-citation.json"} </w:instrText>
      </w:r>
      <w:r>
        <w:fldChar w:fldCharType="separate"/>
      </w:r>
      <w:r w:rsidRPr="009931B9">
        <w:rPr>
          <w:rFonts w:cs="Times New Roman"/>
        </w:rPr>
        <w:t>[3]</w:t>
      </w:r>
      <w:r>
        <w:fldChar w:fldCharType="end"/>
      </w:r>
      <w:r>
        <w:t xml:space="preserve">. Traditional machine learning approaches using genetic data alone </w:t>
      </w:r>
      <w:r>
        <w:lastRenderedPageBreak/>
        <w:t xml:space="preserve">typically achieve more modest results, with one comprehensive study reporting approximately 72% area under the ROC curve as the best performance for predicting late-onset AD from genetic variation data </w:t>
      </w:r>
      <w:r>
        <w:fldChar w:fldCharType="begin"/>
      </w:r>
      <w:r>
        <w:instrText xml:space="preserve"> ADDIN ZOTERO_ITEM CSL_CITATION {"citationID":"j33VMVq4","properties":{"formattedCitation":"[1]","plainCitation":"[1]","noteIndex":0},"citationItems":[{"id":881,"uris":["http://zotero.org/users/14116543/items/QELW2MV8"],"itemData":{"id":881,"type":"article-journal","abstract":"Abstract\n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9931B9">
        <w:rPr>
          <w:rFonts w:cs="Times New Roman"/>
        </w:rPr>
        <w:t>[1]</w:t>
      </w:r>
      <w:r>
        <w:fldChar w:fldCharType="end"/>
      </w:r>
      <w:r>
        <w:t xml:space="preserve">. </w:t>
      </w:r>
      <w:r w:rsidR="00AB1CBE" w:rsidRPr="00AB1CBE">
        <w:t>Recent advances in AI have achieved notably higher performance when combining multiple data types. Deep learning models using epigenomic data from blood samples have achieved AUC values of 0.93-0.99 with 97% sensitivity and specificity</w:t>
      </w:r>
      <w:r w:rsidR="00C24699">
        <w:t xml:space="preserve"> </w:t>
      </w:r>
      <w:r w:rsidR="00C24699">
        <w:fldChar w:fldCharType="begin"/>
      </w:r>
      <w:r w:rsidR="00C24699">
        <w:instrText xml:space="preserve"> ADDIN ZOTERO_ITEM CSL_CITATION {"citationID":"HLvNcY9B","properties":{"formattedCitation":"[15]","plainCitation":"[15]","noteIndex":0},"citationItems":[{"id":910,"uris":["http://zotero.org/users/14116543/items/RXW2SWDC"],"itemData":{"id":910,"type":"article-journal","abstract":"We evaluated the utility of leucocyte epigenomic-biomarkers for Alzheimer’s Disease (AD) detection and elucidates its molecular pathogeneses. Genome-wide DNA methylation analysis was performed using the Infinium MethylationEPIC BeadChip array in 24 late-onset AD (LOAD) and 24 cognitively healthy subjects. Data were analyzed using six Artificial Intelligence (AI) methodologies including Deep Learning (DL) followed by Ingenuity Pathway Analysis (IPA) was used for AD prediction. We identified 152 significantly (FDR p&lt;0.05) differentially methylated intragenic CpGs in 171 distinct genes in AD patients compared to controls. All AI platforms accurately predicted AD with AUCs ≥0.93 using 283,143 intragenic and 244,246 intergenic/extragenic CpGs. DL had an AUC = 0.99 using intragenic CpGs, with both sensitivity and specificity being 97%. High AD prediction was also achieved using intergenic/extragenic CpG sites (DL significance value being AUC = 0.99 with 97% sensitivity and specificity). Epigenetically altered genes included\n              CR1L\n              &amp;\n              CTSV\n              (abnormal morphology of cerebral cortex),\n              S1PR1\n              (CNS inflammation), and\n              LTB4R\n              (inflammatory response). These genes have been previously linked with AD and dementia. The differentially methylated genes\n              CTSV\n              &amp;\n              PRMT5\n              (ventricular hypertrophy and dilation) are linked to cardiovascular disease and of interest given the known association between impaired cerebral blood flow, cardiovascular disease, and AD. We report a novel, minimally invasive approach using peripheral blood leucocyte epigenomics, and AI analysis to detect AD and elucidate its pathogenesis.","container-title":"PLOS ONE","DOI":"10.1371/journal.pone.0248375","ISSN":"1932-6203","issue":"3","journalAbbreviation":"PLoS ONE","language":"en","page":"e0248375","source":"DOI.org (Crossref)","title":"Artificial intelligence and leukocyte epigenomics: Evaluation and prediction of late-onset Alzheimer’s disease","title-short":"Artificial intelligence and leukocyte epigenomics","URL":"https://dx.plos.org/10.1371/journal.pone.0248375","volume":"16","author":[{"family":"Bahado-Singh","given":"Ray O."},{"family":"Vishweswaraiah","given":"Sangeetha"},{"family":"Aydas","given":"Buket"},{"family":"Yilmaz","given":"Ali"},{"family":"Metpally","given":"Raghu P."},{"family":"Carey","given":"David J."},{"family":"Crist","given":"Richard C."},{"family":"Berrettini","given":"Wade H."},{"family":"Wilson","given":"George D."},{"family":"Imam","given":"Khalid"},{"family":"Maddens","given":"Michael"},{"family":"Bisgin","given":"Halil"},{"family":"Graham","given":"Stewart F."},{"family":"Radhakrishna","given":"Uppala"}],"editor":[{"family":"Pandey","given":"Udai"}],"accessed":{"date-parts":[["2025",8,22]]},"issued":{"date-parts":[["2021",3,31]]}}}],"schema":"https://github.com/citation-style-language/schema/raw/master/csl-citation.json"} </w:instrText>
      </w:r>
      <w:r w:rsidR="00C24699">
        <w:fldChar w:fldCharType="separate"/>
      </w:r>
      <w:r w:rsidR="00C24699" w:rsidRPr="00C24699">
        <w:rPr>
          <w:rFonts w:cs="Times New Roman"/>
        </w:rPr>
        <w:t>[15]</w:t>
      </w:r>
      <w:r w:rsidR="00C24699">
        <w:fldChar w:fldCharType="end"/>
      </w:r>
      <w:r w:rsidR="00C24699">
        <w:t xml:space="preserve">. </w:t>
      </w:r>
      <w:r w:rsidR="00C24699" w:rsidRPr="00C24699">
        <w:t>Multimodal approaches that integrate genetic data with neuroimaging show promising results, with one study achieving 83.78% classification accuracy and 0.924 AUC-ROC using both MRI scans and genetic sequencing data </w:t>
      </w:r>
      <w:r w:rsidR="00C24699">
        <w:fldChar w:fldCharType="begin"/>
      </w:r>
      <w:r w:rsidR="00C24699">
        <w:instrText xml:space="preserve"> ADDIN ZOTERO_ITEM CSL_CITATION {"citationID":"VLbBhj4p","properties":{"formattedCitation":"[16]","plainCitation":"[16]","noteIndex":0},"citationItems":[{"id":912,"uris":["http://zotero.org/users/14116543/items/B7QIJ2E9"],"itemData":{"id":912,"type":"article-journal","abstract":"The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C24699">
        <w:fldChar w:fldCharType="separate"/>
      </w:r>
      <w:r w:rsidR="00C24699" w:rsidRPr="00C24699">
        <w:rPr>
          <w:rFonts w:cs="Times New Roman"/>
        </w:rPr>
        <w:t>[16]</w:t>
      </w:r>
      <w:r w:rsidR="00C24699">
        <w:fldChar w:fldCharType="end"/>
      </w:r>
      <w:r w:rsidR="00C24699">
        <w:t xml:space="preserve">. </w:t>
      </w:r>
      <w:r w:rsidR="00C24699" w:rsidRPr="00C24699">
        <w:t>Advanced AI models can predict Alzheimer's disease up to 75.8 months before final diagnosis using neuroimaging, achieving 82% specificity at 100% sensitivity</w:t>
      </w:r>
      <w:r w:rsidR="00553E75">
        <w:t xml:space="preserve"> </w:t>
      </w:r>
      <w:r w:rsidR="00C24699">
        <w:fldChar w:fldCharType="begin"/>
      </w:r>
      <w:r w:rsidR="00C24699">
        <w:instrText xml:space="preserve"> ADDIN ZOTERO_ITEM CSL_CITATION {"citationID":"N7RfbxTV","properties":{"formattedCitation":"[11],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rsidR="00C24699">
        <w:fldChar w:fldCharType="separate"/>
      </w:r>
      <w:r w:rsidR="00C24699" w:rsidRPr="00C24699">
        <w:rPr>
          <w:rFonts w:cs="Times New Roman"/>
        </w:rPr>
        <w:t>[11], [12]</w:t>
      </w:r>
      <w:r w:rsidR="00C24699">
        <w:fldChar w:fldCharType="end"/>
      </w:r>
      <w:r w:rsidR="00C24699">
        <w:t xml:space="preserve">. </w:t>
      </w:r>
      <w:r w:rsidR="00C24699" w:rsidRPr="00C24699">
        <w:t>More recent studies continue to show encouraging results across different approaches. Network-based models that integrate brain connectivity with genetic data achieve AUC values of 0.684 for combined approaches, improving to 0.778 when including clinical covariates like sex and APOE genotypes</w:t>
      </w:r>
      <w:r w:rsidR="00C24699">
        <w:t xml:space="preserve"> </w:t>
      </w:r>
      <w:r w:rsidR="00C24699">
        <w:fldChar w:fldCharType="begin"/>
      </w:r>
      <w:r w:rsidR="00C24699">
        <w:instrText xml:space="preserve"> ADDIN ZOTERO_ITEM CSL_CITATION {"citationID":"8q0PaeXR","properties":{"formattedCitation":"[17]","plainCitation":"[17]","noteIndex":0},"citationItems":[{"id":914,"uris":["http://zotero.org/users/14116543/items/TB6EL787"],"itemData":{"id":914,"type":"article-journal","abstract":"Abstract\n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C24699">
        <w:fldChar w:fldCharType="separate"/>
      </w:r>
      <w:r w:rsidR="00C24699" w:rsidRPr="00C24699">
        <w:rPr>
          <w:rFonts w:cs="Times New Roman"/>
        </w:rPr>
        <w:t>[17]</w:t>
      </w:r>
      <w:r w:rsidR="00C24699">
        <w:fldChar w:fldCharType="end"/>
      </w:r>
      <w:r w:rsidR="00C24699">
        <w:t xml:space="preserve">. </w:t>
      </w:r>
      <w:r w:rsidR="00C24699" w:rsidRPr="00C24699">
        <w:t>Genetic risk scoring approaches demonstrate that individuals in the top decile of genetic risk scores have ten-fold increased odds compared to those in the bottom decile</w:t>
      </w:r>
      <w:r w:rsidR="00C24699">
        <w:t xml:space="preserve"> </w:t>
      </w:r>
      <w:r w:rsidR="00C24699">
        <w:fldChar w:fldCharType="begin"/>
      </w:r>
      <w:r w:rsidR="00C24699">
        <w:instrText xml:space="preserve"> ADDIN ZOTERO_ITEM CSL_CITATION {"citationID":"3tAXU7QN","properties":{"formattedCitation":"[18]","plainCitation":"[18]","noteIndex":0},"citationItems":[{"id":916,"uris":["http://zotero.org/users/14116543/items/G7RGSR2V"],"itemData":{"id":916,"type":"article-journal","abstract":"Abstract\n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M."}],"accessed":{"date-parts":[["2025",8,22]]},"issued":{"date-parts":[["2020",9,23]]}}}],"schema":"https://github.com/citation-style-language/schema/raw/master/csl-citation.json"} </w:instrText>
      </w:r>
      <w:r w:rsidR="00C24699">
        <w:fldChar w:fldCharType="separate"/>
      </w:r>
      <w:r w:rsidR="00C24699" w:rsidRPr="00C24699">
        <w:rPr>
          <w:rFonts w:cs="Times New Roman"/>
        </w:rPr>
        <w:t>[18]</w:t>
      </w:r>
      <w:r w:rsidR="00C24699">
        <w:fldChar w:fldCharType="end"/>
      </w:r>
      <w:r w:rsidR="00C24699">
        <w:t xml:space="preserve">. </w:t>
      </w:r>
      <w:r w:rsidR="00C24699" w:rsidRPr="00C24699">
        <w:t> Some specialized models using gene expression data and machine learning have reported perfect 100% accuracy in cross-validation studies </w:t>
      </w:r>
      <w:r w:rsidR="00C24699">
        <w:fldChar w:fldCharType="begin"/>
      </w:r>
      <w:r w:rsidR="00C24699">
        <w:instrText xml:space="preserve"> ADDIN ZOTERO_ITEM CSL_CITATION {"citationID":"Eet73h9s","properties":{"formattedCitation":"[19]","plainCitation":"[19]","noteIndex":0},"citationItems":[{"id":918,"uris":["http://zotero.org/users/14116543/items/9LBVCFPT"],"itemData":{"id":918,"type":"article-journal","abstract":"Abstract\n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Doss","given":"C."},{"family":"Zayed","given":"Hatem"}],"accessed":{"date-parts":[["2025",8,22]]},"issued":{"date-parts":[["2023",4]]}}}],"schema":"https://github.com/citation-style-language/schema/raw/master/csl-citation.json"} </w:instrText>
      </w:r>
      <w:r w:rsidR="00C24699">
        <w:fldChar w:fldCharType="separate"/>
      </w:r>
      <w:r w:rsidR="00C24699" w:rsidRPr="00C24699">
        <w:rPr>
          <w:rFonts w:cs="Times New Roman"/>
        </w:rPr>
        <w:t>[19]</w:t>
      </w:r>
      <w:r w:rsidR="00C24699">
        <w:fldChar w:fldCharType="end"/>
      </w:r>
      <w:r w:rsidR="00C24699" w:rsidRPr="00C24699">
        <w:t>, while more recent transformer-based models achieve 99% accuracy when combining RNA sequencing data with brain imaging</w:t>
      </w:r>
      <w:r w:rsidR="00C24699">
        <w:t xml:space="preserve"> </w:t>
      </w:r>
      <w:r w:rsidR="00C24699">
        <w:fldChar w:fldCharType="begin"/>
      </w:r>
      <w:r w:rsidR="00C24699">
        <w:instrText xml:space="preserve"> ADDIN ZOTERO_ITEM CSL_CITATION {"citationID":"2p5pH9rR","properties":{"formattedCitation":"[20]","plainCitation":"[20]","noteIndex":0},"citationItems":[{"id":920,"uris":["http://zotero.org/users/14116543/items/UYK6JFFF"],"itemData":{"id":920,"type":"article-journal","abstract":"Alzheimer’s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C24699">
        <w:fldChar w:fldCharType="separate"/>
      </w:r>
      <w:r w:rsidR="00C24699" w:rsidRPr="00C24699">
        <w:rPr>
          <w:rFonts w:cs="Times New Roman"/>
        </w:rPr>
        <w:t>[20]</w:t>
      </w:r>
      <w:r w:rsidR="00C24699">
        <w:fldChar w:fldCharType="end"/>
      </w:r>
      <w:r w:rsidR="00C24699">
        <w:t xml:space="preserve">. </w:t>
      </w:r>
    </w:p>
    <w:p w14:paraId="36BC9564" w14:textId="747EBF60" w:rsidR="00C24699" w:rsidRDefault="00C24699" w:rsidP="00C24699">
      <w:pPr>
        <w:pStyle w:val="Heading1"/>
      </w:pPr>
      <w:r>
        <w:t xml:space="preserve">Genetic </w:t>
      </w:r>
      <w:r w:rsidR="00071A84">
        <w:t>ma</w:t>
      </w:r>
      <w:r>
        <w:t xml:space="preserve">rkers and </w:t>
      </w:r>
      <w:r w:rsidR="00071A84">
        <w:t>f</w:t>
      </w:r>
      <w:r>
        <w:t>eatures</w:t>
      </w:r>
    </w:p>
    <w:p w14:paraId="5993CEF8" w14:textId="44995AA2" w:rsidR="00924115" w:rsidRDefault="00924115" w:rsidP="00924115">
      <w:pPr>
        <w:pStyle w:val="Paragraph"/>
      </w:pPr>
      <w:r>
        <w:t>Key Genetic Markers and Features Used in AI Alzheimer's Prediction:</w:t>
      </w:r>
    </w:p>
    <w:p w14:paraId="32F7C3E6" w14:textId="26CE8AD9" w:rsidR="00924115" w:rsidRDefault="00924115" w:rsidP="00924115">
      <w:pPr>
        <w:pStyle w:val="Paragraph"/>
      </w:pPr>
      <w:r>
        <w:t xml:space="preserve">• </w:t>
      </w:r>
      <w:r w:rsidRPr="00553E75">
        <w:rPr>
          <w:i/>
          <w:iCs/>
        </w:rPr>
        <w:t>APOE gene variants</w:t>
      </w:r>
      <w:r>
        <w:t xml:space="preserve"> - The primary genetic risk factor for Alzheimer's disease, with APOE ε4 being the most significant risk allele and APOE ε2 providing protective effects </w:t>
      </w:r>
      <w:r>
        <w:fldChar w:fldCharType="begin"/>
      </w:r>
      <w:r>
        <w:instrText xml:space="preserve"> ADDIN ZOTERO_ITEM CSL_CITATION {"citationID":"EmT7dHjc","properties":{"formattedCitation":"[21], [22]","plainCitation":"[21], [22]","noteIndex":0},"citationItems":[{"id":921,"uris":["http://zotero.org/users/14116543/items/NTQRC3DA"],"itemData":{"id":921,"type":"paper-conference","container-title":"ECSOC 2024","DOI":"10.3390/ecsoc-28-20206","event-title":"ECSOC 2024","language":"en","license":"https://creativecommons.org/licenses/by/4.0/","page":"25","publisher":"MDPI","source":"DOI.org (Crossref)","title":"Artificial Intelligence for Alzheimer’s Disease Detection: Enhancing Biomarker Analysis and Diagnostic Precision","title-short":"Artificial Intelligence for Alzheimer’s Disease Detection","URL":"https://www.mdpi.com/2673-4583/16/1/25","author":[{"family":"Gupta","given":"Richa"},{"family":"Iftekhar","given":"Zoya"}],"accessed":{"date-parts":[["2025",8,22]]},"issued":{"date-parts":[["2024",11,14]]}}},{"id":922,"uris":["http://zotero.org/users/14116543/items/4I4LU7XW"],"itemData":{"id":922,"type":"article-journal","abstract":"Background: Alzheimer’s disease (AD) is a leading cause of dementia, and it is significantly influenced by the apolipoprotein E4 (APOE4) gene and gender. This study aimed to use machine learning (ML) algorithms to predict brain age and assess AD risk by considering the effects of the APOE4 genotype and gender. Methods: We collected brain volumetric MRI data and medical records from 1100 cognitively unimpaired individuals and 602 patients with AD. We applied three ML regression models—XGBoost, random forest (RF), and linear regression (LR)—to predict brain age. Additionally, we introduced two novel metrics, brain age difference (BAD) and integrated difference (ID), to evaluate the models’ performances and analyze the influences of the APOE4 genotype and gender on brain aging. Results: Patients with AD displayed significantly older brain ages compared to their chronological ages, with BADs ranging from 6.5 to 10 years. The RF model outperformed both XGBoost and LR in terms of accuracy, delivering higher ID values and more precise predictions. Comparing the APOE4 carriers with noncarriers, the models showed enhanced ID values and consistent brain age predictions, improving the overall performance. Gender-specific analyses indicated slight enhancements, with the models performing equally well for both genders. Conclusions: This study demonstrates that robust ML models for brain age prediction can play a crucial role in the early detection of AD risk through MRI brain structural imaging. The significant impact of the APOE4 genotype on brain aging and AD risk is also emphasized. These findings highlight the potential of ML models in assessing AD risk and suggest that utilizing AI for AD identification could enable earlier preventative interventions.","container-title":"Bioengineering","DOI":"10.3390/bioengineering11090943","ISSN":"2306-5354","issue":"9","journalAbbreviation":"Bioengineering","language":"en","license":"https://creativecommons.org/licenses/by/4.0/","page":"943","source":"DOI.org (Crossref)","title":"Machine Learning-Driven Prediction of Brain Age for Alzheimer’s Risk: APOE4 Genotype and Gender Effects","title-short":"Machine Learning-Driven Prediction of Brain Age for Alzheimer’s Risk","URL":"https://www.mdpi.com/2306-5354/11/9/943","volume":"11","author":[{"family":"Woods","given":"Carter"},{"family":"Xing","given":"Xin"},{"family":"Khanal","given":"Subash"},{"family":"Lin","given":"Ai-Ling"}],"accessed":{"date-parts":[["2025",8,22]]},"issued":{"date-parts":[["2024",9,20]]}}}],"schema":"https://github.com/citation-style-language/schema/raw/master/csl-citation.json"} </w:instrText>
      </w:r>
      <w:r>
        <w:fldChar w:fldCharType="separate"/>
      </w:r>
      <w:r w:rsidRPr="00924115">
        <w:rPr>
          <w:rFonts w:cs="Times New Roman"/>
        </w:rPr>
        <w:t>[21], [22]</w:t>
      </w:r>
      <w:r>
        <w:fldChar w:fldCharType="end"/>
      </w:r>
      <w:r w:rsidR="00D7760C">
        <w:t>.</w:t>
      </w:r>
    </w:p>
    <w:p w14:paraId="143B6C8E" w14:textId="5CB174C2" w:rsidR="00924115" w:rsidRDefault="00924115" w:rsidP="00924115">
      <w:pPr>
        <w:pStyle w:val="Paragraph"/>
      </w:pPr>
      <w:r>
        <w:t xml:space="preserve">• </w:t>
      </w:r>
      <w:r w:rsidRPr="00553E75">
        <w:rPr>
          <w:i/>
          <w:iCs/>
        </w:rPr>
        <w:t>Specific SNPs identified through AI</w:t>
      </w:r>
      <w:r>
        <w:t xml:space="preserve"> - Including rs429358 and rs769449 within APOE, rs4821510 (most important SNP for detection), and rs429358 (indication for Alzheimer's disease) </w:t>
      </w:r>
      <w:r>
        <w:fldChar w:fldCharType="begin"/>
      </w:r>
      <w:r>
        <w:instrText xml:space="preserve"> ADDIN ZOTERO_ITEM CSL_CITATION {"citationID":"XkBitvQ6","properties":{"formattedCitation":"[7], [10]","plainCitation":"[7], [10]","noteIndex":0},"citationItems":[{"id":893,"uris":["http://zotero.org/users/14116543/items/EJCVB7IX"],"itemData":{"id":893,"type":"article-journal","container-title":"IEEE Access","DOI":"10.1109/ACCESS.2024.3410135","ISSN":"2169-3536","journalAbbreviation":"IEEE Access","license":"https://creativecommons.org/licenses/by-nc-nd/4.0/","page":"95091-95105","source":"DOI.org (Crossref)","title":"Explainable Machine Learning Model for Alzheimer Detection Using Genetic Data: A Genome-Wide Association Study Approach","title-short":"Explainable Machine Learning Model for Alzheimer Detection Using Genetic Data","URL":"https://ieeexplore.ieee.org/document/10549918/","volume":"12","author":[{"family":"Khater","given":"Tarek"},{"family":"Ansari","given":"Sam"},{"family":"Saad Alatrany","given":"Abbas"},{"family":"Alaskar","given":"Haya"},{"family":"Mahmoud","given":"Soliman"},{"family":"Turky","given":"Ayad"},{"family":"Tawfik","given":"Hissam"},{"family":"Almajali","given":"Eqab"},{"family":"Hussain","given":"Abir"}],"accessed":{"date-parts":[["2025",8,22]]},"issued":{"date-parts":[["2024"]]}}},{"id":900,"uris":["http://zotero.org/users/14116543/items/GEFG294N"],"itemData":{"id":900,"type":"article","abstract":"INTRODUCTION: Alzheimer's disease (AD) is genetically complex, complicating robust classification from genomic data. METHODS: We developed a transformer-based ensemble model (TrUE-Net) using Monte Carlo Dropout for uncertainty estimation in AD classification from whole-genome sequencing (WGS). We combined a transformer that preserves single-nucleotide polymorphism (SNP) sequence structure with a concurrent random forest using flattened genotypes. An uncertainty threshold separated samples into an uncertain (high-variance) group and a more certain (low-variance) group. RESULTS: We analyzed 1050 individuals, holding out half for testing. Overall accuracy and area under the receiver operating characteristic (ROC) curve (AUC) were 0.6514 and 0.6636, respectively. Excluding the uncertain group improved accuracy from 0.6263 to 0.7287 (10.24% increase) and F1 from 0.5843 to 0.8205 (23.62% increase). DISCUSSION: Monte Carlo Dropout-driven uncertainty helps identify ambiguous cases that may require further clinical evaluation, thus improving reliability in AD genomic classification.","DOI":"10.48550/ARXIV.2506.00662","license":"arXiv.org perpetual, non-exclusive license","note":"version: 1","publisher":"arXiv","source":"DOI.org (Datacite)","title":"Uncertainty-Aware Genomic Classification of Alzheimer's Disease: A Transformer-Based Ensemble Approach with Monte Carlo Dropout","title-short":"Uncertainty-Aware Genomic Classification of Alzheimer's Disease","URL":"https://arxiv.org/abs/2506.00662","author":[{"family":"Jo","given":"Taeho"},{"family":"Lee","given":"Eun Hye"},{"family":"Project","given":"Alzheimer's Disease Sequencing"}],"accessed":{"date-parts":[["2025",8,22]]},"issued":{"date-parts":[["2025"]]}}}],"schema":"https://github.com/citation-style-language/schema/raw/master/csl-citation.json"} </w:instrText>
      </w:r>
      <w:r>
        <w:fldChar w:fldCharType="separate"/>
      </w:r>
      <w:r w:rsidRPr="00924115">
        <w:rPr>
          <w:rFonts w:cs="Times New Roman"/>
        </w:rPr>
        <w:t>[7], [10]</w:t>
      </w:r>
      <w:r>
        <w:fldChar w:fldCharType="end"/>
      </w:r>
      <w:r w:rsidR="00D7760C">
        <w:t>.</w:t>
      </w:r>
    </w:p>
    <w:bookmarkEnd w:id="0"/>
    <w:p w14:paraId="535AC567" w14:textId="45335B6A" w:rsidR="00924115" w:rsidRDefault="00924115" w:rsidP="00924115">
      <w:pPr>
        <w:pStyle w:val="Paragraph"/>
      </w:pPr>
      <w:r>
        <w:t xml:space="preserve">• </w:t>
      </w:r>
      <w:r w:rsidRPr="00553E75">
        <w:rPr>
          <w:i/>
          <w:iCs/>
        </w:rPr>
        <w:t>Novel gene targets from AI analysis</w:t>
      </w:r>
      <w:r>
        <w:t xml:space="preserve"> - THAP9-AS1 identified as a top noncoding region target, and ORAI2 discovered as a shared biomarker across frontal, hippocampal, and temporal brain regions </w:t>
      </w:r>
      <w:r w:rsidR="00D7760C">
        <w:fldChar w:fldCharType="begin"/>
      </w:r>
      <w:r w:rsidR="00D7760C">
        <w:instrText xml:space="preserve"> ADDIN ZOTERO_ITEM CSL_CITATION {"citationID":"qbWPydes","properties":{"formattedCitation":"[19], [23]","plainCitation":"[19], [23]","noteIndex":0},"citationItems":[{"id":918,"uris":["http://zotero.org/users/14116543/items/9LBVCFPT"],"itemData":{"id":918,"type":"article-journal","abstract":"Abstract\n            \n              The progressive, chronic nature of Alzheimer's disease (AD), a form of dementia, defaces the adulthood of elderly individuals. The pathogenesis of the condition is primarily unascertained, turning the treatment efficacy more arduous. Therefore, understanding the genetic etiology of AD is essential to identifying targeted therapeutics. This study aimed to use machine-learning techniques of expressed genes in patients with AD to identify potential biomarkers that can be used for future therapy. The dataset is accessed from the Gene Expression Omnibus (GEO) database (Accession Number: GSE36980). The subgroups (AD blood samples from frontal, hippocampal, and temporal regions) are individually investigated against non-AD models. Prioritized gene cluster analyses are conducted with the STRING database. The candidate gene biomarkers were trained with various supervised machine-learning (ML) classification algorithms. The interpretation of the model prediction is perpetrated with explainable artificial intelligence (AI) techniques. This experiment revealed 34, 60, and 28 genes as target biomarkers of AD mapped from the frontal, hippocampal, and temporal regions. It is identified\n              ORAI2\n              as a shared biomarker in all three areas strongly associated with AD's progression. The pathway analysis showed that\n              STIM1\n              and\n              TRPC3\n              are strongly associated with\n              ORAI2\n              . We found three hub genes,\n              TPI1, STIM1,\n              and\n              TRPC3\n              , in the network of the\n              ORAI2\n              gene that might be involved in the molecular pathogenesis of AD. Naive Bayes classified the samples of different groups by fivefold cross-validation with 100% accuracy. AI and ML are promising tools in identifying disease-associated genes that will advance the field of targeted therapeutics against genetic diseases.","container-title":"Metabolic Brain Disease","DOI":"10.1007/s11011-023-01171-0","ISSN":"0885-7490, 1573-7365","issue":"4","journalAbbreviation":"Metab Brain Dis","language":"en","page":"1297-1310","source":"DOI.org (Crossref)","title":"Bioinformatics investigation on blood-based gene expressions of Alzheimer's disease revealed ORAI2 gene biomarker susceptibility: An explainable artificial intelligence-based approach","title-short":"Bioinformatics investigation on blood-based gene expressions of Alzheimer's disease revealed ORAI2 gene biomarker susceptibility","URL":"https://link.springer.com/10.1007/s11011-023-01171-0","volume":"38","author":[{"family":"Sekaran","given":"Karthik"},{"family":"Alsamman","given":"Alsamman M."},{"family":"George Priya Doss","given":"C."},{"family":"Zayed","given":"Hatem"}],"accessed":{"date-parts":[["2025",8,22]]},"issued":{"date-parts":[["2023",4]]}}},{"id":47,"uris":["http://zotero.org/users/14116543/items/LHQWUDFQ"],"itemData":{"id":47,"type":"article-journal","abstract":"Background\n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rsidR="00D7760C">
        <w:fldChar w:fldCharType="separate"/>
      </w:r>
      <w:r w:rsidR="00D7760C" w:rsidRPr="00D7760C">
        <w:rPr>
          <w:rFonts w:cs="Times New Roman"/>
        </w:rPr>
        <w:t>[19], [23]</w:t>
      </w:r>
      <w:r w:rsidR="00D7760C">
        <w:fldChar w:fldCharType="end"/>
      </w:r>
    </w:p>
    <w:p w14:paraId="563EA251" w14:textId="4266628F" w:rsidR="00924115" w:rsidRDefault="00924115" w:rsidP="00924115">
      <w:pPr>
        <w:pStyle w:val="Paragraph"/>
      </w:pPr>
      <w:r>
        <w:t xml:space="preserve">• </w:t>
      </w:r>
      <w:r w:rsidRPr="00553E75">
        <w:rPr>
          <w:i/>
          <w:iCs/>
        </w:rPr>
        <w:t>Calcium signaling pathway genes</w:t>
      </w:r>
      <w:r>
        <w:t xml:space="preserve"> - SNPs in PRKCZ, PLCB1, and ITPR2, along with genes related to Ca2+ ion release in affected brain regions </w:t>
      </w:r>
      <w:r w:rsidR="00D7760C">
        <w:fldChar w:fldCharType="begin"/>
      </w:r>
      <w:r w:rsidR="00D7760C">
        <w:instrText xml:space="preserve"> ADDIN ZOTERO_ITEM CSL_CITATION {"citationID":"aNbx8oKN","properties":{"formattedCitation":"[24]","plainCitation":"[24]","noteIndex":0},"citationItems":[{"id":926,"uris":["http://zotero.org/users/14116543/items/RS5NTKIS"],"itemData":{"id":926,"type":"article-journal","abstract":"Abstract\n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525F91A9" w14:textId="6F7004FF" w:rsidR="00924115" w:rsidRDefault="00924115" w:rsidP="00924115">
      <w:pPr>
        <w:pStyle w:val="Paragraph"/>
      </w:pPr>
      <w:r>
        <w:lastRenderedPageBreak/>
        <w:t xml:space="preserve">• </w:t>
      </w:r>
      <w:r w:rsidRPr="001004B7">
        <w:rPr>
          <w:i/>
          <w:iCs/>
        </w:rPr>
        <w:t>Gene expression biomarkers</w:t>
      </w:r>
      <w:r>
        <w:t xml:space="preserve"> - HLA-DQB1, EIF1AY, HLA-DQA1, and ZFP57 expression levels identified through machine learning analysis of blood samples </w:t>
      </w:r>
      <w:r w:rsidR="00D7760C">
        <w:fldChar w:fldCharType="begin"/>
      </w:r>
      <w:r w:rsidR="00D7760C">
        <w:instrText xml:space="preserve"> ADDIN ZOTERO_ITEM CSL_CITATION {"citationID":"4IoHO7st","properties":{"formattedCitation":"[24]","plainCitation":"[24]","noteIndex":0},"citationItems":[{"id":926,"uris":["http://zotero.org/users/14116543/items/RS5NTKIS"],"itemData":{"id":926,"type":"article-journal","abstract":"Abstract\n            \n              Background\n              Alzheimer’s disease (AD) is an incurable, debilitating neurodegenerative disorder. Current biomarkers for AD diagnosis require expensive neuroimaging or invasive cerebrospinal fluid sampling, thus precluding early detection. Blood-based biomarker discovery in Alzheimer’s can facilitate less-invasive, routine diagnostic tests to aid early intervention. Therefore, we propose “c-Diadem” (constrained dual-input Alzheimer’s disease model), a novel deep learning classifier which incorporates KEGG (Kyoto Encyclopedia of Genes and Genomes) pathway constraints on the input genotyping data to predict disease, i.e., mild cognitive impairment (MCI)/AD or cognitively normal (CN). SHAP (SHapley Additive exPlanations) was used to explain the model and identify novel, potential blood-based genetic markers of MCI/AD.\n            \n            \n              Methods\n              We developed a novel constrained deep learning neural network which utilizes SNPs (single nucleotide polymorphisms) and microarray data from ADNI (Alzheimer’s Disease Neuroimaging Initiative) to predict the disease status of participants, i.e., CN or with disease (MCI/AD), and identify potential blood-based biomarkers for diagnosis and intervention. The dataset contains samples from 626 participants, of which 212 are CN (average age 74.6 ± 5.4 years) and 414 patients have MCI/AD (average age 72.7 ± 7.6 years). KEGG pathway information was used to generate constraints applied to the input tensors, thus enhancing the interpretability of the model. SHAP scores were used to identify genes which could potentially serve as biomarkers for diagnosis and targets for drug development.\n            \n            \n              Results\n              Our model’s performance, with accuracy of 69% and AUC of 70% in the test dataset, is superior to previous models. The SHAP scores show that SNPs in PRKCZ, PLCB1 and ITPR2 as well as expression of HLA-DQB1, EIF1AY, HLA-DQA1, and ZFP57 have more impact on model predictions.\n            \n            \n              Conclusions\n              \n                In addition to predicting MCI/AD, our model has been interrogated for potential genetic biomarkers using SHAP. From our analysis, we have identified blood-based genetic markers related to Ca\n                2+\n                ion release in affected regions of the brain, as well as depression. The findings from our study provides insights into disease mechanisms, and can facilitate innovation in less-invasive, cost-effective diagnostics. To the best of our knowledge, our model is the first to use pathway constraints in a multimodal neural network to identify potential genetic markers for AD.","container-title":"BMC Medical Genomics","DOI":"10.1186/s12920-023-01675-9","ISSN":"1755-8794","issue":"S2","journalAbbreviation":"BMC Med Genomics","language":"en","page":"244","source":"DOI.org (Crossref)","title":"c-Diadem: a constrained dual-input deep learning model to identify novel biomarkers in Alzheimer’s disease","title-short":"c-Diadem","URL":"https://bmcmedgenomics.biomedcentral.com/articles/10.1186/s12920-023-01675-9","volume":"16","author":[{"family":"Jemimah","given":"Sherlyn"},{"family":"AlShehhi","given":"Aamna"},{"literal":"for the Alzheimer’s Disease Neuroimaging Initiative"}],"accessed":{"date-parts":[["2025",8,24]]},"issued":{"date-parts":[["2023",10,13]]}}}],"schema":"https://github.com/citation-style-language/schema/raw/master/csl-citation.json"} </w:instrText>
      </w:r>
      <w:r w:rsidR="00D7760C">
        <w:fldChar w:fldCharType="separate"/>
      </w:r>
      <w:r w:rsidR="00D7760C" w:rsidRPr="00D7760C">
        <w:rPr>
          <w:rFonts w:cs="Times New Roman"/>
        </w:rPr>
        <w:t>[24]</w:t>
      </w:r>
      <w:r w:rsidR="00D7760C">
        <w:fldChar w:fldCharType="end"/>
      </w:r>
      <w:r w:rsidR="00D7760C">
        <w:t>.</w:t>
      </w:r>
    </w:p>
    <w:p w14:paraId="6D501ACA" w14:textId="50BE123D" w:rsidR="00924115" w:rsidRDefault="00924115" w:rsidP="00924115">
      <w:pPr>
        <w:pStyle w:val="Paragraph"/>
      </w:pPr>
      <w:r>
        <w:t xml:space="preserve">• </w:t>
      </w:r>
      <w:r w:rsidRPr="001004B7">
        <w:rPr>
          <w:i/>
          <w:iCs/>
        </w:rPr>
        <w:t>Hub genes for disease progression</w:t>
      </w:r>
      <w:r>
        <w:t xml:space="preserve"> - ACBD5, GABARAPL1, and HSPA8 identified as key genes associated with Alzheimer's progression </w:t>
      </w:r>
      <w:r w:rsidR="00D7760C">
        <w:fldChar w:fldCharType="begin"/>
      </w:r>
      <w:r w:rsidR="00D7760C">
        <w:instrText xml:space="preserve"> ADDIN ZOTERO_ITEM CSL_CITATION {"citationID":"DxlzzJPo","properties":{"formattedCitation":"[25]","plainCitation":"[25]","noteIndex":0},"citationItems":[{"id":928,"uris":["http://zotero.org/users/14116543/items/VYSUSMQY"],"itemData":{"id":928,"type":"article-journal","abstract":"Background: Recent research indicates that lipid metabolism and autophagy play crucial roles in the development of Alzheimer’s disease (AD). Investigating the relationship between AD diagnosis and gene expression related to lipid metabolism, autophagy, and lipophagy may improve early diagnosis and the identification of therapeutic targets. Methods: Transcription datasets from AD patients were obtained from the Gene Expression Omnibus (GEO). Genes associated with lipid metabolism, autophagy, and lipophagy were sourced from the Gene Set Enrichment Analysis (GSEA) database and the Human Autophagy Database (HADb). Lipophagy-related hub genes were identified using a combination of Limma analysis, weighted gene co-expression network analysis (WGCNA), and machine learning techniques. Based on these hub genes, we developed an AD risk prediction nomogram and validated its diagnostic accuracy using three external validation datasets. Additionally, the expression levels of the hub genes were assessed through quantitative reverse transcription polymerase chain reaction (qRT-PCR). Results: Our analysis identified three hub genes—ACBD5, GABARAPL1, and HSPA8—as being associated with AD progression. The nomogram constructed from these hub genes achieved an area under the curve (AUC) value of 0.894 for AD risk prediction, with all validation sets yielding AUC values greater than 0.8, indicating excellent diagnostic efficacy. qRT-PCR results further corroborated the associations between these hub genes and AD development. Conclusions: This study identified and validated three lipophagy-related hub genes and developed a reliable diagnostic model, offering insights into the pathology of AD and facilitating the diagnosis of AD patients.","container-title":"Biomedicines","DOI":"10.3390/biomedicines13020362","ISSN":"2227-9059","issue":"2","journalAbbreviation":"Biomedicines","language":"en","license":"https://creativecommons.org/licenses/by/4.0/","page":"362","source":"DOI.org (Crossref)","title":"Identification of Lipophagy-Related Gene Signature for Diagnosis and Risk Prediction of Alzheimer’s Disease","URL":"https://www.mdpi.com/2227-9059/13/2/362","volume":"13","author":[{"family":"Guo","given":"Hongxiu"},{"family":"Zheng","given":"Siyi"},{"family":"Sun","given":"Shangqi"},{"family":"Shi","given":"Xueying"},{"family":"Wang","given":"Xiufeng"},{"family":"Yang","given":"Yang"},{"family":"Ma","given":"Rong"},{"family":"Li","given":"Gang"}],"accessed":{"date-parts":[["2025",8,24]]},"issued":{"date-parts":[["2025",2,5]]}}}],"schema":"https://github.com/citation-style-language/schema/raw/master/csl-citation.json"} </w:instrText>
      </w:r>
      <w:r w:rsidR="00D7760C">
        <w:fldChar w:fldCharType="separate"/>
      </w:r>
      <w:r w:rsidR="00D7760C" w:rsidRPr="00D7760C">
        <w:rPr>
          <w:rFonts w:cs="Times New Roman"/>
        </w:rPr>
        <w:t>[25]</w:t>
      </w:r>
      <w:r w:rsidR="00D7760C">
        <w:fldChar w:fldCharType="end"/>
      </w:r>
      <w:r w:rsidR="00D7760C">
        <w:t>.</w:t>
      </w:r>
    </w:p>
    <w:p w14:paraId="69CCC810" w14:textId="4CD05091" w:rsidR="00924115" w:rsidRDefault="00924115" w:rsidP="00924115">
      <w:pPr>
        <w:pStyle w:val="Paragraph"/>
      </w:pPr>
      <w:r>
        <w:t xml:space="preserve">• </w:t>
      </w:r>
      <w:r w:rsidRPr="001004B7">
        <w:rPr>
          <w:i/>
          <w:iCs/>
        </w:rPr>
        <w:t>Epigenetic markers</w:t>
      </w:r>
      <w:r>
        <w:t xml:space="preserve"> - DNA methylation patterns (CpG sites) across the genome, with hundreds of new significant brain </w:t>
      </w:r>
      <w:proofErr w:type="spellStart"/>
      <w:r>
        <w:t>CpGs</w:t>
      </w:r>
      <w:proofErr w:type="spellEnd"/>
      <w:r>
        <w:t xml:space="preserve"> predicted using machine learning approaches like </w:t>
      </w:r>
      <w:proofErr w:type="spellStart"/>
      <w:r>
        <w:t>EWASplus</w:t>
      </w:r>
      <w:proofErr w:type="spellEnd"/>
      <w:r>
        <w:t xml:space="preserve"> </w:t>
      </w:r>
      <w:r w:rsidR="00D7760C">
        <w:fldChar w:fldCharType="begin"/>
      </w:r>
      <w:r w:rsidR="00D7760C">
        <w:instrText xml:space="preserve"> ADDIN ZOTERO_ITEM CSL_CITATION {"citationID":"Vw2lx7Hv","properties":{"formattedCitation":"[26],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D7760C">
        <w:fldChar w:fldCharType="separate"/>
      </w:r>
      <w:r w:rsidR="00D7760C" w:rsidRPr="00D7760C">
        <w:rPr>
          <w:rFonts w:cs="Times New Roman"/>
        </w:rPr>
        <w:t>[26], [27]</w:t>
      </w:r>
      <w:r w:rsidR="00D7760C">
        <w:fldChar w:fldCharType="end"/>
      </w:r>
      <w:r w:rsidR="00D7760C">
        <w:t>.</w:t>
      </w:r>
    </w:p>
    <w:p w14:paraId="05471BC1" w14:textId="1D3C03A3" w:rsidR="00924115" w:rsidRDefault="00924115" w:rsidP="00924115">
      <w:pPr>
        <w:pStyle w:val="Paragraph"/>
      </w:pPr>
      <w:r w:rsidRPr="001004B7">
        <w:rPr>
          <w:i/>
          <w:iCs/>
        </w:rPr>
        <w:t>• Polygenic risk scores</w:t>
      </w:r>
      <w:r>
        <w:t xml:space="preserve"> - Combinations of multiple SNPs that provide stronger predictive power than single gene tests, with optimal performance achieved using fewer than 100 causal SNPs </w:t>
      </w:r>
      <w:r w:rsidR="00D7760C">
        <w:fldChar w:fldCharType="begin"/>
      </w:r>
      <w:r w:rsidR="00D7760C">
        <w:instrText xml:space="preserve"> ADDIN ZOTERO_ITEM CSL_CITATION {"citationID":"uxIyVUSp","properties":{"formattedCitation":"[18], [28]","plainCitation":"[18], [28]","noteIndex":0},"citationItems":[{"id":916,"uris":["http://zotero.org/users/14116543/items/G7RGSR2V"],"itemData":{"id":916,"type":"article-journal","abstract":"Abstract\n            \n              Genetic association studies have identified 44 common genome-wide significant risk loci for late-onset Alzheimer’s disease (LOAD). However, LOAD genetic architecture and prediction are unclear. Here we estimate the optimal\n              P\n              -threshold (\n              P\n              optimal\n              ) of a genetic risk score (GRS) for prediction of LOAD in three independent datasets comprising 676 cases and 35,675 family history proxy cases. We show that the discriminative ability of GRS in LOAD prediction is maximised when selecting a small number of SNPs. Both simulation results and direct estimation indicate that the number of causal common SNPs for LOAD may be less than 100, suggesting LOAD is more oligogenic than polygenic. The best GRS explains approximately 75% of SNP-heritability, and individuals in the top decile of GRS have ten-fold increased odds when compared to those in the bottom decile. In addition, 14 variants are identified that contribute to both LOAD risk and age at onset of LOAD.","container-title":"Nature Communications","DOI":"10.1038/s41467-020-18534-1","ISSN":"2041-1723","issue":"1","journalAbbreviation":"Nat Commun","language":"en","page":"4799","source":"DOI.org (Crossref)","title":"Risk prediction of late-onset Alzheimer’s disease implies an oligogenic architecture","URL":"https://www.nature.com/articles/s41467-020-18534-1","volume":"11","author":[{"family":"Zhang","given":"Qian"},{"family":"Sidorenko","given":"Julia"},{"family":"Couvy-Duchesne","given":"Baptiste"},{"family":"Marioni","given":"Riccardo E."},{"family":"Wright","given":"Margaret J."},{"family":"Goate","given":"Alison M."},{"family":"Marcora","given":"Edoardo"},{"family":"Huang","given":"Kuan-lin"},{"family":"Porter","given":"Tenielle"},{"family":"Laws","given":"Simon M."},{"literal":"Australian Imaging Biomarkers and Lifestyle (AIBL) Study"},{"family":"Masters","given":"Colin L."},{"family":"Bush","given":"Ashley I."},{"family":"Fowler","given":"Christopher"},{"family":"Darby","given":"David"},{"family":"Pertile","given":"Kelly"},{"family":"Restrepo","given":"Carolina"},{"family":"Roberts","given":"Blaine"},{"family":"Robertson","given":"Jo"},{"family":"Rumble","given":"Rebecca"},{"family":"Ryan","given":"Tim"},{"family":"Collins","given":"Steven"},{"family":"Thai","given":"Christine"},{"family":"Trounson","given":"Brett"},{"family":"Lennon","given":"Kate"},{"family":"Li","given":"Qiao-Xin"},{"family":"Ugarte","given":"Fernanda Yevenes"},{"family":"Volitakis","given":"Irene"},{"family":"Vovos","given":"Michael"},{"family":"Williams","given":"Rob"},{"family":"Baker","given":"Jenalle"},{"family":"Russell","given":"Alyce"},{"family":"Peretti","given":"Madeline"},{"family":"Milicic","given":"Lidija"},{"family":"Lim","given":"Lucy"},{"family":"Rodrigues","given":"Mark"},{"family":"Taddei","given":"Kevin"},{"family":"Taddei","given":"Tania"},{"family":"Hone","given":"Eugene"},{"family":"Lim","given":"Florence"},{"family":"Fernandez","given":"Shane"},{"family":"Rainey-Smith","given":"Stephanie"},{"family":"Pedrini","given":"Steve"},{"family":"Martins","given":"Ralph"},{"family":"Doecke","given":"James"},{"family":"Bourgeat","given":"Pierrick"},{"family":"Fripp","given":"Jurgen"},{"family":"Gibson","given":"Simon"},{"family":"Leroux","given":"Hugo"},{"family":"Hanson","given":"David"},{"family":"Dore","given":"Vincent"},{"family":"Zhang","given":"Ping"},{"family":"Burnham","given":"Samantha"},{"family":"Rowe","given":"Christopher C."},{"family":"Villemagne","given":"Victor L."},{"family":"Yates","given":"Paul"},{"family":"Pejoska","given":"Sveltana Bozin"},{"family":"Jones","given":"Gareth"},{"family":"Ames","given":"David"},{"family":"Cyarto","given":"Elizabeth"},{"family":"Lautenschlager","given":"Nicola"},{"family":"Barnham","given":"Kevin"},{"family":"Cheng","given":"Lesley"},{"family":"Hill","given":"Andy"},{"family":"Killeen","given":"Neil"},{"family":"Maruff","given":"Paul"},{"family":"Silbert","given":"Brendan"},{"family":"Brown","given":"Belinda"},{"family":"Sohrabi","given":"Harmid"},{"family":"Savage","given":"Greg"},{"family":"Vacher","given":"Michael"},{"family":"Sachdev","given":"Perminder S."},{"family":"Mather","given":"Karen A."},{"family":"Armstrong","given":"Nicola J."},{"family":"Thalamuthu","given":"Anbupalam"},{"family":"Brodaty","given":"Henry"},{"family":"Yengo","given":"Loic"},{"family":"Yang","given":"Jian"},{"family":"Wray","given":"Naomi R."},{"family":"McRae","given":"Allan F."},{"family":"Visscher","given":"Peter M."}],"accessed":{"date-parts":[["2025",8,22]]},"issued":{"date-parts":[["2020",9,23]]}}},{"id":597,"uris":["http://zotero.org/users/14116543/items/Y6NWCPCF"],"itemData":{"id":597,"type":"article-journal","abstract":"Characterization of the genetic landscape of Alzheimer’s disease (AD) and related dementias (ADD) provides a unique opportunity for a better understanding of the associated pathophysiological processes. We performed a two-stage genome-wide association study totaling 111,326 clinically diagnosed/‘proxy’ AD cases and 677,663 controls. We found 75 risk loci, of which 42 were new at the time of analysis. Pathway enrichment analyses confirmed the involvement of amyloid/tau pathways and highlighted microglia implication. Gene prioritization in the new loci identified 31 genes that were suggestive of new genetically associated processes, including the tumor necrosis factor alpha pathway through the linear ubiquitin chain assembly complex. We also built a new genetic risk score associated with the risk of future AD/dementia or progression from mild cognitive impairment to AD/dementia. The improvement in prediction led to a 1.6- to 1.9-fold increase in AD risk from the lowest to the highest decile, in addition to effects of age and the APOE ε4 allele.","container-title":"Nature Genetics","DOI":"10.1038/s41588-022-01024-z","ISSN":"1546-1718","issue":"4","journalAbbreviation":"Nat Genet","language":"en","license":"2022 The Author(s)","note":"publisher: Nature Publishing Group","page":"412-436","source":"www.nature.com","title":"New insights into the genetic etiology of Alzheimer’s disease and related dementias","URL":"https://www.nature.com/articles/s41588-022-01024-z","volume":"54","author":[{"family":"Bellenguez","given":"Céline"},{"family":"Küçükali","given":"Fahri"},{"family":"Jansen","given":"Iris E."},{"family":"Kleineidam","given":"Luca"},{"family":"Moreno-Grau","given":"Sonia"},{"family":"Amin","given":"Najaf"},{"family":"Naj","given":"Adam C."},{"family":"Campos-Martin","given":"Rafael"},{"family":"Grenier-Boley","given":"Benjamin"},{"family":"Andrade","given":"Victor"},{"family":"Holmans","given":"Peter A."},{"family":"Boland","given":"Anne"},{"family":"Damotte","given":"Vincent"},{"family":"Lee","given":"Sven J.","non-dropping-particle":"van der"},{"family":"Costa","given":"Marcos R."},{"family":"Kuulasmaa","given":"Teemu"},{"family":"Yang","given":"Qiong"},{"family":"Rojas","given":"Itziar","non-dropping-particle":"de"},{"family":"Bis","given":"Joshua C."},{"family":"Yaqub","given":"Amber"},{"family":"Prokic","given":"Ivana"},{"family":"Chapuis","given":"Julien"},{"family":"Ahmad","given":"Shahzad"},{"family":"Giedraitis","given":"Vilmantas"},{"family":"Aarsland","given":"Dag"},{"family":"Garcia-Gonzalez","given":"Pablo"},{"family":"Abdelnour","given":"Carla"},{"family":"Alarcón-Martín","given":"Emilio"},{"family":"Alcolea","given":"Daniel"},{"family":"Alegret","given":"Montserrat"},{"family":"Alvarez","given":"Ignacio"},{"family":"Álvarez","given":"Victoria"},{"family":"Armstrong","given":"Nicola J."},{"family":"Tsolaki","given":"Anthoula"},{"family":"Antúnez","given":"Carmen"},{"family":"Appollonio","given":"Ildebrando"},{"family":"Arcaro","given":"Marina"},{"family":"Archetti","given":"Silvana"},{"family":"Pastor","given":"Alfonso Arias"},{"family":"Arosio","given":"Beatrice"},{"family":"Athanasiu","given":"Lavinia"},{"family":"Bailly","given":"Henri"},{"family":"Banaj","given":"Nerisa"},{"family":"Baquero","given":"Miquel"},{"family":"Barral","given":"Sandra"},{"family":"Beiser","given":"Alexa"},{"family":"Pastor","given":"Ana Belén"},{"family":"Below","given":"Jennifer E."},{"family":"Benchek","given":"Penelope"},{"family":"Benussi","given":"Luisa"},{"family":"Berr","given":"Claudine"},{"family":"Besse","given":"Céline"},{"family":"Bessi","given":"Valentina"},{"family":"Binetti","given":"Giuliano"},{"family":"Bizarro","given":"Alessandra"},{"family":"Blesa","given":"Rafael"},{"family":"Boada","given":"Mercè"},{"family":"Boerwinkle","given":"Eric"},{"family":"Borroni","given":"Barbara"},{"family":"Boschi","given":"Silvia"},{"family":"Bossù","given":"Paola"},{"family":"Bråthen","given":"Geir"},{"family":"Bressler","given":"Jan"},{"family":"Bresner","given":"Catherine"},{"family":"Brodaty","given":"Henry"},{"family":"Brookes","given":"Keeley J."},{"family":"Brusco","given":"Luis Ignacio"},{"family":"Buiza-Rueda","given":"Dolores"},{"family":"Bûrger","given":"Katharina"},{"family":"Burholt","given":"Vanessa"},{"family":"Bush","given":"William S."},{"family":"Calero","given":"Miguel"},{"family":"Cantwell","given":"Laura B."},{"family":"Chene","given":"Geneviève"},{"family":"Chung","given":"Jaeyoon"},{"family":"Cuccaro","given":"Michael L."},{"family":"Carracedo","given":"Ángel"},{"family":"Cecchetti","given":"Roberta"},{"family":"Cervera-Carles","given":"Laura"},{"family":"Charbonnier","given":"Camille"},{"family":"Chen","given":"Hung-Hsin"},{"family":"Chillotti","given":"Caterina"},{"family":"Ciccone","given":"Simona"},{"family":"Claassen","given":"Jurgen A. H. R."},{"family":"Clark","given":"Christopher"},{"family":"Conti","given":"Elisa"},{"family":"Corma-Gómez","given":"Anaïs"},{"family":"Costantini","given":"Emanuele"},{"family":"Custodero","given":"Carlo"},{"family":"Daian","given":"Delphine"},{"family":"Dalmasso","given":"Maria Carolina"},{"family":"Daniele","given":"Antonio"},{"family":"Dardiotis","given":"Efthimios"},{"family":"Dartigues","given":"Jean-François"},{"family":"Deyn","given":"Peter Paul","non-dropping-particle":"de"},{"family":"Paiva Lopes","given":"Katia","non-dropping-particle":"de"},{"family":"Witte","given":"Lot D.","non-dropping-particle":"de"},{"family":"Debette","given":"Stéphanie"},{"family":"Deckert","given":"Jürgen"},{"family":"Ser","given":"Teodoro","non-dropping-particle":"del"},{"family":"Denning","given":"Nicola"},{"family":"DeStefano","given":"Anita"},{"family":"Dichgans","given":"Martin"},{"family":"Diehl-Schmid","given":"Janine"},{"family":"Diez-Fairen","given":"Mónica"},{"family":"Rossi","given":"Paolo Dionigi"},{"family":"Djurovic","given":"Srdjan"},{"family":"Duron","given":"Emmanuelle"},{"family":"Düzel","given":"Emrah"},{"family":"Dufouil","given":"Carole"},{"family":"Eiriksdottir","given":"Gudny"},{"family":"Engelborghs","given":"Sebastiaan"},{"family":"Escott-Price","given":"Valentina"},{"family":"Espinosa","given":"Ana"},{"family":"Ewers","given":"Michael"},{"family":"Faber","given":"Kelley M."},{"family":"Fabrizio","given":"Tagliavini"},{"family":"Nielsen","given":"Sune Fallgaard"},{"family":"Fardo","given":"David W."},{"family":"Farotti","given":"Lucia"},{"family":"Fenoglio","given":"Chiara"},{"family":"Fernández-Fuertes","given":"Marta"},{"family":"Ferrari","given":"Raffaele"},{"family":"Ferreira","given":"Catarina B."},{"family":"Ferri","given":"Evelyn"},{"family":"Fin","given":"Bertrand"},{"family":"Fischer","given":"Peter"},{"family":"Fladby","given":"Tormod"},{"family":"Fließbach","given":"Klaus"},{"family":"Fongang","given":"Bernard"},{"family":"Fornage","given":"Myriam"},{"family":"Fortea","given":"Juan"},{"family":"Foroud","given":"Tatiana M."},{"family":"Fostinelli","given":"Silvia"},{"family":"Fox","given":"Nick C."},{"family":"Franco-Macías","given":"Emlio"},{"family":"Bullido","given":"María J."},{"family":"Frank-García","given":"Ana"},{"family":"Froelich","given":"Lutz"},{"family":"Fulton-Howard","given":"Brian"},{"family":"Galimberti","given":"Daniela"},{"family":"García-Alberca","given":"Jose Maria"},{"family":"García-González","given":"Pablo"},{"family":"Garcia-Madrona","given":"Sebastian"},{"family":"Garcia-Ribas","given":"Guillermo"},{"family":"Ghidoni","given":"Roberta"},{"family":"Giegling","given":"Ina"},{"family":"Giorgio","given":"Giaccone"},{"family":"Goate","given":"Alison M."},{"family":"Goldhardt","given":"Oliver"},{"family":"Gomez-Fonseca","given":"Duber"},{"family":"González-Pérez","given":"Antonio"},{"family":"Graff","given":"Caroline"},{"family":"Grande","given":"Giulia"},{"family":"Green","given":"Emma"},{"family":"Grimmer","given":"Timo"},{"family":"Grünblatt","given":"Edna"},{"family":"Grunin","given":"Michelle"},{"family":"Gudnason","given":"Vilmundur"},{"family":"Guetta-Baranes","given":"Tamar"},{"family":"Haapasalo","given":"Annakaisa"},{"family":"Hadjigeorgiou","given":"Georgios"},{"family":"Haines","given":"Jonathan L."},{"family":"Hamilton-Nelson","given":"Kara L."},{"family":"Hampel","given":"Harald"},{"family":"Hanon","given":"Olivier"},{"family":"Hardy","given":"John"},{"family":"Hartmann","given":"Annette M."},{"family":"Hausner","given":"Lucrezia"},{"family":"Harwood","given":"Janet"},{"family":"Heilmann-Heimbach","given":"Stefanie"},{"family":"Helisalmi","given":"Seppo"},{"family":"Heneka","given":"Michael T."},{"family":"Hernández","given":"Isabel"},{"family":"Herrmann","given":"Martin J."},{"family":"Hoffmann","given":"Per"},{"family":"Holmes","given":"Clive"},{"family":"Holstege","given":"Henne"},{"family":"Vilas","given":"Raquel Huerto"},{"family":"Hulsman","given":"Marc"},{"family":"Humphrey","given":"Jack"},{"family":"Biessels","given":"Geert Jan"},{"family":"Jian","given":"Xueqiu"},{"family":"Johansson","given":"Charlotte"},{"family":"Jun","given":"Gyungah R."},{"family":"Kastumata","given":"Yuriko"},{"family":"Kauwe","given":"John"},{"family":"Kehoe","given":"Patrick G."},{"family":"Kilander","given":"Lena"},{"family":"Ståhlbom","given":"Anne Kinhult"},{"family":"Kivipelto","given":"Miia"},{"family":"Koivisto","given":"Anne"},{"family":"Kornhuber","given":"Johannes"},{"family":"Kosmidis","given":"Mary H."},{"family":"Kukull","given":"Walter A."},{"family":"Kuksa","given":"Pavel P."},{"family":"Kunkle","given":"Brian W."},{"family":"Kuzma","given":"Amanda B."},{"family":"Lage","given":"Carmen"},{"family":"Laukka","given":"Erika J."},{"family":"Launer","given":"Lenore"},{"family":"Lauria","given":"Alessandra"},{"family":"Lee","given":"Chien-Yueh"},{"family":"Lehtisalo","given":"Jenni"},{"family":"Lerch","given":"Ondrej"},{"family":"Lleó","given":"Alberto"},{"family":"Longstreth","given":"William"},{"family":"Lopez","given":"Oscar"},{"family":"Munain","given":"Adolfo Lopez","non-dropping-particle":"de"},{"family":"Love","given":"Seth"},{"family":"Löwemark","given":"Malin"},{"family":"Luckcuck","given":"Lauren"},{"family":"Lunetta","given":"Kathryn L."},{"family":"Ma","given":"Yiyi"},{"family":"Macías","given":"Juan"},{"family":"MacLeod","given":"Catherine A."},{"family":"Maier","given":"Wolfgang"},{"family":"Mangialasche","given":"Francesca"},{"family":"Spallazzi","given":"Marco"},{"family":"Marquié","given":"Marta"},{"family":"Marshall","given":"Rachel"},{"family":"Martin","given":"Eden R."},{"family":"Montes","given":"Angel Martín"},{"family":"Rodríguez","given":"Carmen Martínez"},{"family":"Masullo","given":"Carlo"},{"family":"Mayeux","given":"Richard"},{"family":"Mead","given":"Simon"},{"family":"Mecocci","given":"Patrizia"},{"family":"Medina","given":"Miguel"},{"family":"Meggy","given":"Alun"},{"family":"Mehrabian","given":"Shima"},{"family":"Mendoza","given":"Silvia"},{"family":"Menéndez-González","given":"Manuel"},{"family":"Mir","given":"Pablo"},{"family":"Moebus","given":"Susanne"},{"family":"Mol","given":"Merel"},{"family":"Molina-Porcel","given":"Laura"},{"family":"Montrreal","given":"Laura"},{"family":"Morelli","given":"Laura"},{"family":"Moreno","given":"Fermin"},{"family":"Morgan","given":"Kevin"},{"family":"Mosley","given":"Thomas"},{"family":"Nöthen","given":"Markus M."},{"family":"Muchnik","given":"Carolina"},{"family":"Mukherjee","given":"Shubhabrata"},{"family":"Nacmias","given":"Benedetta"},{"family":"Ngandu","given":"Tiia"},{"family":"Nicolas","given":"Gael"},{"family":"Nordestgaard","given":"Børge G."},{"family":"Olaso","given":"Robert"},{"family":"Orellana","given":"Adelina"},{"family":"Orsini","given":"Michela"},{"family":"Ortega","given":"Gemma"},{"family":"Padovani","given":"Alessandro"},{"family":"Paolo","given":"Caffarra"},{"family":"Papenberg","given":"Goran"},{"family":"Parnetti","given":"Lucilla"},{"family":"Pasquier","given":"Florence"},{"family":"Pastor","given":"Pau"},{"family":"Peloso","given":"Gina"},{"family":"Pérez-Cordón","given":"Alba"},{"family":"Pérez-Tur","given":"Jordi"},{"family":"Pericard","given":"Pierre"},{"family":"Peters","given":"Oliver"},{"family":"Pijnenburg","given":"Yolande A. L."},{"family":"Pineda","given":"Juan A."},{"family":"Piñol-Ripoll","given":"Gerard"},{"family":"Pisanu","given":"Claudia"},{"family":"Polak","given":"Thomas"},{"family":"Popp","given":"Julius"},{"family":"Posthuma","given":"Danielle"},{"family":"Priller","given":"Josef"},{"family":"Puerta","given":"Raquel"},{"family":"Quenez","given":"Olivier"},{"family":"Quintela","given":"Inés"},{"family":"Thomassen","given":"Jesper Qvist"},{"family":"Rábano","given":"Alberto"},{"family":"Rainero","given":"Innocenzo"},{"family":"Rajabli","given":"Farid"},{"family":"Ramakers","given":"Inez"},{"family":"Real","given":"Luis M."},{"family":"Reinders","given":"Marcel J. T."},{"family":"Reitz","given":"Christiane"},{"family":"Reyes-Dumeyer","given":"Dolly"},{"family":"Ridge","given":"Perry"},{"family":"Riedel-Heller","given":"Steffi"},{"family":"Riederer","given":"Peter"},{"family":"Roberto","given":"Natalia"},{"family":"Rodriguez-Rodriguez","given":"Eloy"},{"family":"Rongve","given":"Arvid"},{"family":"Allende","given":"Irene Rosas"},{"family":"Rosende-Roca","given":"Maitée"},{"family":"Royo","given":"Jose Luis"},{"family":"Rubino","given":"Elisa"},{"family":"Rujescu","given":"Dan"},{"family":"Sáez","given":"María Eugenia"},{"family":"Sakka","given":"Paraskevi"},{"family":"Saltvedt","given":"Ingvild"},{"family":"Sanabria","given":"Ángela"},{"family":"Sánchez-Arjona","given":"María Bernal"},{"family":"Sanchez-Garcia","given":"Florentino"},{"family":"Juan","given":"Pascual Sánchez"},{"family":"Sánchez-Valle","given":"Raquel"},{"family":"Sando","given":"Sigrid B."},{"family":"Sarnowski","given":"Chloé"},{"family":"Satizabal","given":"Claudia L."},{"family":"Scamosci","given":"Michela"},{"family":"Scarmeas","given":"Nikolaos"},{"family":"Scarpini","given":"Elio"},{"family":"Scheltens","given":"Philip"},{"family":"Scherbaum","given":"Norbert"},{"family":"Scherer","given":"Martin"},{"family":"Schmid","given":"Matthias"},{"family":"Schneider","given":"Anja"},{"family":"Schott","given":"Jonathan M."},{"family":"Selbæk","given":"Geir"},{"family":"Seripa","given":"Davide"},{"family":"Serrano","given":"Manuel"},{"family":"Sha","given":"Jin"},{"family":"Shadrin","given":"Alexey A."},{"family":"Skrobot","given":"Olivia"},{"family":"Slifer","given":"Susan"},{"family":"Snijders","given":"Gijsje J. L."},{"family":"Soininen","given":"Hilkka"},{"family":"Solfrizzi","given":"Vincenzo"},{"family":"Solomon","given":"Alina"},{"family":"Song","given":"Yeunjoo"},{"family":"Sorbi","given":"Sandro"},{"family":"Sotolongo-Grau","given":"Oscar"},{"family":"Spalletta","given":"Gianfranco"},{"family":"Spottke","given":"Annika"},{"family":"Squassina","given":"Alessio"},{"family":"Stordal","given":"Eystein"},{"family":"Tartan","given":"Juan Pablo"},{"family":"Tárraga","given":"Lluís"},{"family":"Tesí","given":"Niccolo"},{"family":"Thalamuthu","given":"Anbupalam"},{"family":"Thomas","given":"Tegos"},{"family":"Tosto","given":"Giuseppe"},{"family":"Traykov","given":"Latchezar"},{"family":"Tremolizzo","given":"Lucio"},{"family":"Tybjærg-Hansen","given":"Anne"},{"family":"Uitterlinden","given":"Andre"},{"family":"Ullgren","given":"Abbe"},{"family":"Ulstein","given":"Ingun"},{"family":"Valero","given":"Sergi"},{"family":"Valladares","given":"Otto"},{"family":"Broeckhoven","given":"Christine Van"},{"family":"Vance","given":"Jeffery"},{"family":"Vardarajan","given":"Badri N."},{"family":"Lugt","given":"Aad","non-dropping-particle":"van der"},{"family":"Dongen","given":"Jasper Van"},{"family":"Rooij","given":"Jeroen","non-dropping-particle":"van"},{"family":"Swieten","given":"John","non-dropping-particle":"van"},{"family":"Vandenberghe","given":"Rik"},{"family":"Verhey","given":"Frans"},{"family":"Vidal","given":"Jean-Sébastien"},{"family":"Vogelgsang","given":"Jonathan"},{"family":"Vyhnalek","given":"Martin"},{"family":"Wagner","given":"Michael"},{"family":"Wallon","given":"David"},{"family":"Wang","given":"Li-San"},{"family":"Wang","given":"Ruiqi"},{"family":"Weinhold","given":"Leonie"},{"family":"Wiltfang","given":"Jens"},{"family":"Windle","given":"Gill"},{"family":"Woods","given":"Bob"},{"family":"Yannakoulia","given":"Mary"},{"family":"Zare","given":"Habil"},{"family":"Zhao","given":"Yi"},{"family":"Zhang","given":"Xiaoling"},{"family":"Zhu","given":"Congcong"},{"family":"Zulaica","given":"Miren"},{"family":"Farrer","given":"Lindsay A."},{"family":"Psaty","given":"Bruce M."},{"family":"Ghanbari","given":"Mohsen"},{"family":"Raj","given":"Towfique"},{"family":"Sachdev","given":"Perminder"},{"family":"Mather","given":"Karen"},{"family":"Jessen","given":"Frank"},{"family":"Ikram","given":"M. Arfan"},{"family":"Mendonça","given":"Alexandre","non-dropping-particle":"de"},{"family":"Hort","given":"Jakub"},{"family":"Tsolaki","given":"Magda"},{"family":"Pericak-Vance","given":"Margaret A."},{"family":"Amouyel","given":"Philippe"},{"family":"Williams","given":"Julie"},{"family":"Frikke-Schmidt","given":"Ruth"},{"family":"Clarimon","given":"Jordi"},{"family":"Deleuze","given":"Jean-François"},{"family":"Rossi","given":"Giacomina"},{"family":"Seshadri","given":"Sudha"},{"family":"Andreassen","given":"Ole A."},{"family":"Ingelsson","given":"Martin"},{"family":"Hiltunen","given":"Mikko"},{"family":"Sleegers","given":"Kristel"},{"family":"Schellenberg","given":"Gerard D."},{"family":"Duijn","given":"Cornelia M.","non-dropping-particle":"van"},{"family":"Sims","given":"Rebecca"},{"family":"Flier","given":"Wiesje M.","non-dropping-particle":"van der"},{"family":"Ruiz","given":"Agustín"},{"family":"Ramirez","given":"Alfredo"},{"family":"Lambert","given":"Jean-Charles"}],"accessed":{"date-parts":[["2025",1,23]]},"issued":{"date-parts":[["2022",4]]}}}],"schema":"https://github.com/citation-style-language/schema/raw/master/csl-citation.json"} </w:instrText>
      </w:r>
      <w:r w:rsidR="00D7760C">
        <w:fldChar w:fldCharType="separate"/>
      </w:r>
      <w:r w:rsidR="00D7760C" w:rsidRPr="00D7760C">
        <w:rPr>
          <w:rFonts w:cs="Times New Roman"/>
        </w:rPr>
        <w:t>[18], [28]</w:t>
      </w:r>
      <w:r w:rsidR="00D7760C">
        <w:fldChar w:fldCharType="end"/>
      </w:r>
      <w:r w:rsidR="00D7760C">
        <w:t>.</w:t>
      </w:r>
    </w:p>
    <w:p w14:paraId="23019AE0" w14:textId="4EFFDE89" w:rsidR="00924115" w:rsidRDefault="00924115" w:rsidP="00924115">
      <w:pPr>
        <w:pStyle w:val="Paragraph"/>
      </w:pPr>
      <w:r>
        <w:t xml:space="preserve">• </w:t>
      </w:r>
      <w:r w:rsidRPr="001004B7">
        <w:rPr>
          <w:i/>
          <w:iCs/>
        </w:rPr>
        <w:t>Protein-level genetic predictors</w:t>
      </w:r>
      <w:r>
        <w:t xml:space="preserve"> - Genetically predicted protein levels in plasma used as instruments to investigate associations with Alzheimer's risk </w:t>
      </w:r>
      <w:r w:rsidR="00D7760C">
        <w:fldChar w:fldCharType="begin"/>
      </w:r>
      <w:r w:rsidR="00D7760C">
        <w:instrText xml:space="preserve"> ADDIN ZOTERO_ITEM CSL_CITATION {"citationID":"jEkQUCjO","properties":{"formattedCitation":"[29]","plainCitation":"[29]","noteIndex":0},"citationItems":[{"id":938,"uris":["http://zotero.org/users/14116543/items/UGY6F4YC"],"itemData":{"id":938,"type":"article-journal","abstract":"Abstract\n            \n              Background\n              Specific peripheral proteins have been implicated to play an important role in the development of Alzheimer’s disease (AD). However, the roles of additional novel protein biomarkers in AD etiology remains elusive. The availability of large-scale AD GWAS and plasma proteomic data provide the resources needed for the identification of causally relevant circulating proteins that may serve as risk factors for AD and potential therapeutic targets.\n            \n            \n              Methods\n              We established and validated genetic prediction models for protein levels in plasma as instruments to investigate the associations between genetically predicted protein levels and AD risk. We studied 71,880 (proxy) cases and 383,378 (proxy) controls of European descent.\n            \n            \n              Results\n              We identified 69 proteins with genetically predicted concentrations showing associations with AD risk. The drugs almitrine and ciclopirox targeting ATP1A1 were suggested to have a potential for being repositioned for AD treatment.\n            \n            \n              Conclusions\n              Our study provides additional insights into the underlying mechanisms of AD and potential therapeutic strategies.","container-title":"Alzheimer's Research &amp; Therapy","DOI":"10.1186/s13195-023-01378-4","ISSN":"1758-9193","issue":"1","journalAbbreviation":"Alz Res Therapy","language":"en","page":"8","source":"DOI.org (Crossref)","title":"Associations between genetically predicted plasma protein levels and Alzheimer’s disease risk: a study using genetic prediction models","title-short":"Associations between genetically predicted plasma protein levels and Alzheimer’s disease risk","URL":"https://alzres.biomedcentral.com/articles/10.1186/s13195-023-01378-4","volume":"16","author":[{"family":"Zhu","given":"Jingjing"},{"family":"Liu","given":"Shuai"},{"family":"Walker","given":"Keenan A."},{"family":"Zhong","given":"Hua"},{"family":"Ghoneim","given":"Dalia H."},{"family":"Zhang","given":"Zichen"},{"family":"Surendran","given":"Praveen"},{"family":"Fahle","given":"Sarah"},{"family":"Butterworth","given":"Adam"},{"family":"Alam","given":"Md Ashad"},{"family":"Deng","given":"Hong-Wen"},{"family":"Wu","given":"Chong"},{"family":"Wu","given":"Lang"}],"accessed":{"date-parts":[["2025",8,24]]},"issued":{"date-parts":[["2024",1,11]]}}}],"schema":"https://github.com/citation-style-language/schema/raw/master/csl-citation.json"} </w:instrText>
      </w:r>
      <w:r w:rsidR="00D7760C">
        <w:fldChar w:fldCharType="separate"/>
      </w:r>
      <w:r w:rsidR="00D7760C" w:rsidRPr="00D7760C">
        <w:rPr>
          <w:rFonts w:cs="Times New Roman"/>
        </w:rPr>
        <w:t>[29]</w:t>
      </w:r>
      <w:r w:rsidR="00D7760C">
        <w:fldChar w:fldCharType="end"/>
      </w:r>
      <w:r w:rsidR="00D7760C">
        <w:t>.</w:t>
      </w:r>
    </w:p>
    <w:p w14:paraId="2E91CE3F" w14:textId="5E9E7F7A" w:rsidR="00C24699" w:rsidRPr="00C24699" w:rsidRDefault="00924115" w:rsidP="00D7760C">
      <w:pPr>
        <w:pStyle w:val="Paragraph"/>
      </w:pPr>
      <w:r>
        <w:t xml:space="preserve">• </w:t>
      </w:r>
      <w:r w:rsidRPr="001004B7">
        <w:rPr>
          <w:i/>
          <w:iCs/>
        </w:rPr>
        <w:t>Familial Alzheimer's mutations</w:t>
      </w:r>
      <w:r>
        <w:t xml:space="preserve"> - APP, PSEN1, and APOE4 mutations that contribute to amyloid beta and tau pathology </w:t>
      </w:r>
      <w:r w:rsidR="00D7760C">
        <w:fldChar w:fldCharType="begin"/>
      </w:r>
      <w:r w:rsidR="00D7760C">
        <w:instrText xml:space="preserve"> ADDIN ZOTERO_ITEM CSL_CITATION {"citationID":"VPwjSOtE","properties":{"formattedCitation":"[30]","plainCitation":"[30]","noteIndex":0},"citationItems":[{"id":940,"uris":["http://zotero.org/users/14116543/items/V8RNTKUP"],"itemData":{"id":940,"type":"article-journal","abstract":"Abstract\n            Lewy body dementia (LBD) encompasses neurodegenerative dementias characterized by cognitive fluctuations, visual hallucinations, and parkinsonism. Clinical differentiation of LBD from Alzheimer’s disease (AD) remains complex due to symptom overlap, yet approximately 25% of dementia cases are diagnosed as LBD postmortem, primarily identified by the presence of α-synuclein aggregates, tau tangles, and amyloid plaques. These pathological features position LBD as a comorbid condition of both Parkinson’s disease (PD) and AD, with over 50% of LBD cases exhibiting co-pathologies. LBD’s mixed pathology complicates the development of comprehensive models that reflect the full spectrum of LBD’s etiological, clinical, and pathological features. While existing animal and cellular models have facilitated significant discoveries in PD and AD research, they lack specificity in capturing LBD’s unique pathogenic mechanisms, limiting the exploration of therapeutic avenues for LBD specifically. This review assesses widely used PD and AD models in terms of their relevance to LBD, particularly focusing on their ability to replicate human disease pathology and assess treatment efficacy. Furthermore, we discuss potential modifications to these models to advance the understanding of LBD mechanisms and propose innovative research directions aimed at developing models with enhanced etiological, face, predictive, and construct validity.","container-title":"Molecular Neurodegeneration","DOI":"10.1186/s13024-025-00837-w","ISSN":"1750-1326","issue":"1","journalAbbreviation":"Mol Neurodegeneration","language":"en","page":"46","source":"DOI.org (Crossref)","title":"Research models to study lewy body dementia","URL":"https://molecularneurodegeneration.biomedcentral.com/articles/10.1186/s13024-025-00837-w","volume":"20","author":[{"family":"Boschen","given":"Suelen Lucio"},{"family":"A. Mukerjee","given":"Aarushi"},{"family":"H. Faroqi","given":"Ayman"},{"family":"E. Rabichow","given":"Ben"},{"family":"Fryer","given":"John"}],"accessed":{"date-parts":[["2025",8,24]]},"issued":{"date-parts":[["2025",4,23]]}}}],"schema":"https://github.com/citation-style-language/schema/raw/master/csl-citation.json"} </w:instrText>
      </w:r>
      <w:r w:rsidR="00D7760C">
        <w:fldChar w:fldCharType="separate"/>
      </w:r>
      <w:r w:rsidR="00D7760C" w:rsidRPr="00D7760C">
        <w:rPr>
          <w:rFonts w:cs="Times New Roman"/>
        </w:rPr>
        <w:t>[30]</w:t>
      </w:r>
      <w:r w:rsidR="00D7760C">
        <w:fldChar w:fldCharType="end"/>
      </w:r>
      <w:r w:rsidR="00D7760C">
        <w:t>.</w:t>
      </w:r>
    </w:p>
    <w:p w14:paraId="148535C2" w14:textId="77777777" w:rsidR="00D7760C" w:rsidRDefault="00D7760C" w:rsidP="00924115">
      <w:pPr>
        <w:pStyle w:val="Paragraph"/>
      </w:pPr>
      <w:r>
        <w:br w:type="page"/>
      </w:r>
    </w:p>
    <w:p w14:paraId="590CFF68" w14:textId="2E72DB26" w:rsidR="00C24699" w:rsidRPr="00981B01" w:rsidRDefault="00D7760C" w:rsidP="005E61C2">
      <w:pPr>
        <w:pStyle w:val="Heading20"/>
      </w:pPr>
      <w:r>
        <w:lastRenderedPageBreak/>
        <w:t xml:space="preserve">Table 1. </w:t>
      </w:r>
      <w:r w:rsidR="00C24699" w:rsidRPr="00C24699">
        <w:t xml:space="preserve">Literature </w:t>
      </w:r>
      <w:r w:rsidR="00AD0BAD">
        <w:t>c</w:t>
      </w:r>
      <w:r w:rsidR="00C24699" w:rsidRPr="00C24699">
        <w:t>omparison</w:t>
      </w:r>
      <w:r w:rsidR="00AD0BAD">
        <w:t>s</w:t>
      </w:r>
    </w:p>
    <w:tbl>
      <w:tblPr>
        <w:tblStyle w:val="TableGrid"/>
        <w:tblW w:w="10270" w:type="dxa"/>
        <w:tblLook w:val="04A0" w:firstRow="1" w:lastRow="0" w:firstColumn="1" w:lastColumn="0" w:noHBand="0" w:noVBand="1"/>
      </w:tblPr>
      <w:tblGrid>
        <w:gridCol w:w="2969"/>
        <w:gridCol w:w="2424"/>
        <w:gridCol w:w="2234"/>
        <w:gridCol w:w="2643"/>
      </w:tblGrid>
      <w:tr w:rsidR="00C24699" w:rsidRPr="00B66497" w14:paraId="02634B4C" w14:textId="77777777" w:rsidTr="00A84FA1">
        <w:trPr>
          <w:trHeight w:val="560"/>
        </w:trPr>
        <w:tc>
          <w:tcPr>
            <w:tcW w:w="2969" w:type="dxa"/>
            <w:hideMark/>
          </w:tcPr>
          <w:p w14:paraId="56C86B08" w14:textId="77777777" w:rsidR="00C24699" w:rsidRPr="00B66497" w:rsidRDefault="00C24699" w:rsidP="00B66497">
            <w:pPr>
              <w:spacing w:after="0" w:line="276" w:lineRule="auto"/>
              <w:rPr>
                <w:rFonts w:cs="Times New Roman"/>
                <w:lang w:val="en-GB" w:eastAsia="en-GB"/>
              </w:rPr>
            </w:pPr>
            <w:r w:rsidRPr="00B66497">
              <w:rPr>
                <w:rFonts w:cs="Times New Roman"/>
                <w:lang w:val="en-GB" w:eastAsia="en-GB"/>
              </w:rPr>
              <w:t>Papers</w:t>
            </w:r>
          </w:p>
        </w:tc>
        <w:tc>
          <w:tcPr>
            <w:tcW w:w="2424" w:type="dxa"/>
            <w:hideMark/>
          </w:tcPr>
          <w:p w14:paraId="61BEFC4D" w14:textId="1093A124"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Key </w:t>
            </w:r>
            <w:r w:rsidR="00852243">
              <w:rPr>
                <w:rFonts w:cs="Times New Roman"/>
                <w:lang w:val="en-GB" w:eastAsia="en-GB"/>
              </w:rPr>
              <w:t>g</w:t>
            </w:r>
            <w:r w:rsidRPr="00B66497">
              <w:rPr>
                <w:rFonts w:cs="Times New Roman"/>
                <w:lang w:val="en-GB" w:eastAsia="en-GB"/>
              </w:rPr>
              <w:t xml:space="preserve">enetic </w:t>
            </w:r>
            <w:r w:rsidR="00852243">
              <w:rPr>
                <w:rFonts w:cs="Times New Roman"/>
                <w:lang w:val="en-GB" w:eastAsia="en-GB"/>
              </w:rPr>
              <w:t>m</w:t>
            </w:r>
            <w:r w:rsidRPr="00B66497">
              <w:rPr>
                <w:rFonts w:cs="Times New Roman"/>
                <w:lang w:val="en-GB" w:eastAsia="en-GB"/>
              </w:rPr>
              <w:t>arkers</w:t>
            </w:r>
          </w:p>
        </w:tc>
        <w:tc>
          <w:tcPr>
            <w:tcW w:w="2234" w:type="dxa"/>
            <w:hideMark/>
          </w:tcPr>
          <w:p w14:paraId="76E21379" w14:textId="486E5E00" w:rsidR="00C24699" w:rsidRPr="00B66497" w:rsidRDefault="00C24699" w:rsidP="00B66497">
            <w:pPr>
              <w:spacing w:after="0" w:line="276" w:lineRule="auto"/>
              <w:rPr>
                <w:rFonts w:cs="Times New Roman"/>
                <w:lang w:val="en-GB" w:eastAsia="en-GB"/>
              </w:rPr>
            </w:pPr>
            <w:r w:rsidRPr="00B66497">
              <w:rPr>
                <w:rFonts w:cs="Times New Roman"/>
                <w:lang w:val="en-GB" w:eastAsia="en-GB"/>
              </w:rPr>
              <w:t>A</w:t>
            </w:r>
            <w:r w:rsidR="00852243">
              <w:rPr>
                <w:rFonts w:cs="Times New Roman"/>
                <w:lang w:val="en-GB" w:eastAsia="en-GB"/>
              </w:rPr>
              <w:t>I</w:t>
            </w:r>
            <w:r w:rsidRPr="00B66497">
              <w:rPr>
                <w:rFonts w:cs="Times New Roman"/>
                <w:lang w:val="en-GB" w:eastAsia="en-GB"/>
              </w:rPr>
              <w:t xml:space="preserve"> And </w:t>
            </w:r>
            <w:r w:rsidR="00852243">
              <w:rPr>
                <w:rFonts w:cs="Times New Roman"/>
                <w:lang w:val="en-GB" w:eastAsia="en-GB"/>
              </w:rPr>
              <w:t>ma</w:t>
            </w:r>
            <w:r w:rsidRPr="00B66497">
              <w:rPr>
                <w:rFonts w:cs="Times New Roman"/>
                <w:lang w:val="en-GB" w:eastAsia="en-GB"/>
              </w:rPr>
              <w:t xml:space="preserve">chine </w:t>
            </w:r>
            <w:r w:rsidR="00852243">
              <w:rPr>
                <w:rFonts w:cs="Times New Roman"/>
                <w:lang w:val="en-GB" w:eastAsia="en-GB"/>
              </w:rPr>
              <w:t>le</w:t>
            </w:r>
            <w:r w:rsidRPr="00B66497">
              <w:rPr>
                <w:rFonts w:cs="Times New Roman"/>
                <w:lang w:val="en-GB" w:eastAsia="en-GB"/>
              </w:rPr>
              <w:t xml:space="preserve">arning </w:t>
            </w:r>
            <w:r w:rsidR="00852243">
              <w:rPr>
                <w:rFonts w:cs="Times New Roman"/>
                <w:lang w:val="en-GB" w:eastAsia="en-GB"/>
              </w:rPr>
              <w:t>t</w:t>
            </w:r>
            <w:r w:rsidRPr="00B66497">
              <w:rPr>
                <w:rFonts w:cs="Times New Roman"/>
                <w:lang w:val="en-GB" w:eastAsia="en-GB"/>
              </w:rPr>
              <w:t>echniques</w:t>
            </w:r>
          </w:p>
        </w:tc>
        <w:tc>
          <w:tcPr>
            <w:tcW w:w="2643" w:type="dxa"/>
            <w:hideMark/>
          </w:tcPr>
          <w:p w14:paraId="5A1212AD" w14:textId="557A317D" w:rsidR="00C24699" w:rsidRPr="00B66497" w:rsidRDefault="00C24699" w:rsidP="00B66497">
            <w:pPr>
              <w:spacing w:after="0" w:line="276" w:lineRule="auto"/>
              <w:rPr>
                <w:rFonts w:cs="Times New Roman"/>
                <w:lang w:val="en-GB" w:eastAsia="en-GB"/>
              </w:rPr>
            </w:pPr>
            <w:r w:rsidRPr="00B66497">
              <w:rPr>
                <w:rFonts w:cs="Times New Roman"/>
                <w:lang w:val="en-GB" w:eastAsia="en-GB"/>
              </w:rPr>
              <w:t xml:space="preserve">Innovative </w:t>
            </w:r>
            <w:r w:rsidR="00852243">
              <w:rPr>
                <w:rFonts w:cs="Times New Roman"/>
                <w:lang w:val="en-GB" w:eastAsia="en-GB"/>
              </w:rPr>
              <w:t>m</w:t>
            </w:r>
            <w:r w:rsidRPr="00B66497">
              <w:rPr>
                <w:rFonts w:cs="Times New Roman"/>
                <w:lang w:val="en-GB" w:eastAsia="en-GB"/>
              </w:rPr>
              <w:t>ethodologies</w:t>
            </w:r>
          </w:p>
        </w:tc>
      </w:tr>
      <w:tr w:rsidR="00A84FA1" w:rsidRPr="00B66497" w14:paraId="6BDD131C" w14:textId="77777777" w:rsidTr="00063683">
        <w:trPr>
          <w:trHeight w:val="1587"/>
        </w:trPr>
        <w:tc>
          <w:tcPr>
            <w:tcW w:w="2969" w:type="dxa"/>
            <w:noWrap/>
            <w:hideMark/>
          </w:tcPr>
          <w:p w14:paraId="39C991BB" w14:textId="64018BC8" w:rsidR="00A84FA1" w:rsidRPr="00B66497" w:rsidRDefault="00A84FA1" w:rsidP="00B66497">
            <w:pPr>
              <w:spacing w:after="0" w:line="276" w:lineRule="auto"/>
              <w:rPr>
                <w:rFonts w:cs="Times New Roman"/>
                <w:sz w:val="22"/>
                <w:szCs w:val="22"/>
                <w:u w:val="single"/>
                <w:lang w:val="en-GB" w:eastAsia="en-GB"/>
              </w:rPr>
            </w:pPr>
            <w:hyperlink r:id="rId6" w:tgtFrame="_blank" w:history="1">
              <w:r w:rsidRPr="00B66497">
                <w:rPr>
                  <w:rFonts w:cs="Times New Roman"/>
                  <w:sz w:val="22"/>
                  <w:szCs w:val="22"/>
                  <w:u w:val="single"/>
                  <w:lang w:val="en-GB" w:eastAsia="en-GB"/>
                </w:rPr>
                <w:t>Gupta et al, 2024</w:t>
              </w:r>
            </w:hyperlink>
            <w:r w:rsidR="00FC4471">
              <w:rPr>
                <w:rFonts w:cs="Times New Roman"/>
                <w:sz w:val="22"/>
                <w:szCs w:val="22"/>
                <w:u w:val="single"/>
                <w:lang w:val="en-GB" w:eastAsia="en-GB"/>
              </w:rPr>
              <w:t>;</w:t>
            </w:r>
          </w:p>
          <w:p w14:paraId="364C4AEC" w14:textId="04E886EF" w:rsidR="00A84FA1" w:rsidRPr="00E27A9A" w:rsidRDefault="00A84FA1" w:rsidP="00B66497">
            <w:pPr>
              <w:spacing w:after="0" w:line="276" w:lineRule="auto"/>
              <w:rPr>
                <w:rFonts w:cs="Times New Roman"/>
                <w:i/>
                <w:iCs/>
                <w:sz w:val="22"/>
                <w:szCs w:val="22"/>
                <w:u w:val="single"/>
                <w:lang w:val="en-GB" w:eastAsia="en-GB"/>
              </w:rPr>
            </w:pPr>
            <w:r w:rsidRPr="00E27A9A">
              <w:rPr>
                <w:rFonts w:cs="Times New Roman"/>
                <w:i/>
                <w:iCs/>
                <w:lang w:val="en-GB" w:eastAsia="en-GB"/>
              </w:rPr>
              <w:t>ECSOC 2024</w:t>
            </w:r>
          </w:p>
        </w:tc>
        <w:tc>
          <w:tcPr>
            <w:tcW w:w="2424" w:type="dxa"/>
            <w:hideMark/>
          </w:tcPr>
          <w:p w14:paraId="27E30EF0"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genotype</w:t>
            </w:r>
          </w:p>
        </w:tc>
        <w:tc>
          <w:tcPr>
            <w:tcW w:w="2234" w:type="dxa"/>
            <w:hideMark/>
          </w:tcPr>
          <w:p w14:paraId="4CC0D77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N/A</w:t>
            </w:r>
          </w:p>
        </w:tc>
        <w:tc>
          <w:tcPr>
            <w:tcW w:w="2643" w:type="dxa"/>
            <w:hideMark/>
          </w:tcPr>
          <w:p w14:paraId="1D15E41E" w14:textId="2A36D0F9"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AI techniques for </w:t>
            </w:r>
            <w:proofErr w:type="spellStart"/>
            <w:r w:rsidRPr="00B66497">
              <w:rPr>
                <w:rFonts w:cs="Times New Roman"/>
                <w:lang w:val="en-GB" w:eastAsia="en-GB"/>
              </w:rPr>
              <w:t>senhanced</w:t>
            </w:r>
            <w:proofErr w:type="spellEnd"/>
            <w:r w:rsidRPr="00B66497">
              <w:rPr>
                <w:rFonts w:cs="Times New Roman"/>
                <w:lang w:val="en-GB" w:eastAsia="en-GB"/>
              </w:rPr>
              <w:t xml:space="preserve"> precision in biomarker analysis and neuroimaging standardization.</w:t>
            </w:r>
          </w:p>
        </w:tc>
      </w:tr>
      <w:tr w:rsidR="00A84FA1" w:rsidRPr="00B66497" w14:paraId="51AD4A30" w14:textId="77777777" w:rsidTr="00997149">
        <w:trPr>
          <w:trHeight w:val="1904"/>
        </w:trPr>
        <w:tc>
          <w:tcPr>
            <w:tcW w:w="2969" w:type="dxa"/>
            <w:noWrap/>
            <w:hideMark/>
          </w:tcPr>
          <w:p w14:paraId="09412E7D" w14:textId="2A5C5684" w:rsidR="00A84FA1" w:rsidRPr="00A84FA1" w:rsidRDefault="00A84FA1" w:rsidP="00B66497">
            <w:pPr>
              <w:spacing w:after="0" w:line="276" w:lineRule="auto"/>
              <w:rPr>
                <w:rFonts w:cs="Times New Roman"/>
                <w:sz w:val="22"/>
                <w:szCs w:val="22"/>
                <w:u w:val="single"/>
                <w:lang w:val="fr-FR" w:eastAsia="en-GB"/>
              </w:rPr>
            </w:pPr>
            <w:hyperlink r:id="rId7" w:tgtFrame="_blank" w:history="1">
              <w:r w:rsidRPr="00A84FA1">
                <w:rPr>
                  <w:rFonts w:cs="Times New Roman"/>
                  <w:sz w:val="22"/>
                  <w:szCs w:val="22"/>
                  <w:u w:val="single"/>
                  <w:lang w:val="fr-FR" w:eastAsia="en-GB"/>
                </w:rPr>
                <w:t>Jo et al, 2024</w:t>
              </w:r>
            </w:hyperlink>
            <w:r w:rsidR="00FC4471" w:rsidRPr="00D677A9">
              <w:rPr>
                <w:rFonts w:cs="Times New Roman"/>
                <w:sz w:val="22"/>
                <w:szCs w:val="22"/>
                <w:u w:val="single"/>
                <w:lang w:val="fr-FR" w:eastAsia="en-GB"/>
              </w:rPr>
              <w:t>;</w:t>
            </w:r>
          </w:p>
          <w:p w14:paraId="553E41E1" w14:textId="24A116A7" w:rsidR="00A84FA1" w:rsidRPr="00A84FA1" w:rsidRDefault="00A84FA1" w:rsidP="00B66497">
            <w:pPr>
              <w:spacing w:after="0" w:line="276" w:lineRule="auto"/>
              <w:rPr>
                <w:rFonts w:cs="Times New Roman"/>
                <w:sz w:val="22"/>
                <w:szCs w:val="22"/>
                <w:u w:val="single"/>
                <w:lang w:val="fr-FR" w:eastAsia="en-GB"/>
              </w:rPr>
            </w:pPr>
            <w:proofErr w:type="spellStart"/>
            <w:proofErr w:type="gramStart"/>
            <w:r w:rsidRPr="00E27A9A">
              <w:rPr>
                <w:rFonts w:cs="Times New Roman"/>
                <w:i/>
                <w:iCs/>
                <w:lang w:val="fr-FR" w:eastAsia="en-GB"/>
              </w:rPr>
              <w:t>medRxiv</w:t>
            </w:r>
            <w:proofErr w:type="spellEnd"/>
            <w:proofErr w:type="gramEnd"/>
            <w:r w:rsidRPr="00A84FA1">
              <w:rPr>
                <w:rFonts w:cs="Times New Roman"/>
                <w:lang w:val="fr-FR" w:eastAsia="en-GB"/>
              </w:rPr>
              <w:t xml:space="preserve"> (2 citations)</w:t>
            </w:r>
          </w:p>
        </w:tc>
        <w:tc>
          <w:tcPr>
            <w:tcW w:w="2424" w:type="dxa"/>
            <w:hideMark/>
          </w:tcPr>
          <w:p w14:paraId="50723698"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APOE rs429358, rs769449, novel SNPs in top 1,500 LD blocks.</w:t>
            </w:r>
          </w:p>
        </w:tc>
        <w:tc>
          <w:tcPr>
            <w:tcW w:w="2234" w:type="dxa"/>
            <w:hideMark/>
          </w:tcPr>
          <w:p w14:paraId="48A5479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Deep learning framework with </w:t>
            </w:r>
            <w:proofErr w:type="spellStart"/>
            <w:r w:rsidRPr="00B66497">
              <w:rPr>
                <w:rFonts w:cs="Times New Roman"/>
                <w:lang w:val="en-GB" w:eastAsia="en-GB"/>
              </w:rPr>
              <w:t>TabNet</w:t>
            </w:r>
            <w:proofErr w:type="spellEnd"/>
            <w:r w:rsidRPr="00B66497">
              <w:rPr>
                <w:rFonts w:cs="Times New Roman"/>
                <w:lang w:val="en-GB" w:eastAsia="en-GB"/>
              </w:rPr>
              <w:t xml:space="preserve"> and Random Forest algorithms.</w:t>
            </w:r>
          </w:p>
        </w:tc>
        <w:tc>
          <w:tcPr>
            <w:tcW w:w="2643" w:type="dxa"/>
            <w:hideMark/>
          </w:tcPr>
          <w:p w14:paraId="07B8A56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Deep-Block framework: multi-stage deep learning with biological knowledge for SNP feature importance quantification.</w:t>
            </w:r>
          </w:p>
        </w:tc>
      </w:tr>
      <w:tr w:rsidR="00A84FA1" w:rsidRPr="00B66497" w14:paraId="75341924" w14:textId="77777777" w:rsidTr="007A6C92">
        <w:trPr>
          <w:trHeight w:val="1904"/>
        </w:trPr>
        <w:tc>
          <w:tcPr>
            <w:tcW w:w="2969" w:type="dxa"/>
            <w:noWrap/>
            <w:hideMark/>
          </w:tcPr>
          <w:p w14:paraId="35E9C961" w14:textId="336FDE25" w:rsidR="00A84FA1" w:rsidRPr="00A84FA1" w:rsidRDefault="00A84FA1" w:rsidP="00B66497">
            <w:pPr>
              <w:spacing w:after="0" w:line="276" w:lineRule="auto"/>
              <w:rPr>
                <w:rFonts w:cs="Times New Roman"/>
                <w:sz w:val="22"/>
                <w:szCs w:val="22"/>
                <w:u w:val="single"/>
                <w:lang w:val="fr-FR" w:eastAsia="en-GB"/>
              </w:rPr>
            </w:pPr>
            <w:hyperlink r:id="rId8" w:tgtFrame="_blank" w:history="1">
              <w:proofErr w:type="spellStart"/>
              <w:r w:rsidRPr="00A84FA1">
                <w:rPr>
                  <w:rFonts w:cs="Times New Roman"/>
                  <w:sz w:val="22"/>
                  <w:szCs w:val="22"/>
                  <w:u w:val="single"/>
                  <w:lang w:val="fr-FR" w:eastAsia="en-GB"/>
                </w:rPr>
                <w:t>Sekaran</w:t>
              </w:r>
              <w:proofErr w:type="spellEnd"/>
              <w:r w:rsidRPr="00A84FA1">
                <w:rPr>
                  <w:rFonts w:cs="Times New Roman"/>
                  <w:sz w:val="22"/>
                  <w:szCs w:val="22"/>
                  <w:u w:val="single"/>
                  <w:lang w:val="fr-FR" w:eastAsia="en-GB"/>
                </w:rPr>
                <w:t xml:space="preserve"> et al, 2023</w:t>
              </w:r>
            </w:hyperlink>
            <w:r w:rsidR="00FC4471" w:rsidRPr="00D677A9">
              <w:rPr>
                <w:rFonts w:cs="Times New Roman"/>
                <w:sz w:val="22"/>
                <w:szCs w:val="22"/>
                <w:u w:val="single"/>
                <w:lang w:val="fr-FR" w:eastAsia="en-GB"/>
              </w:rPr>
              <w:t>;</w:t>
            </w:r>
          </w:p>
          <w:p w14:paraId="1B7F4AB4" w14:textId="64DF66CD" w:rsidR="00A84FA1" w:rsidRPr="00A84FA1" w:rsidRDefault="00A84FA1" w:rsidP="00B66497">
            <w:pPr>
              <w:spacing w:after="0" w:line="276" w:lineRule="auto"/>
              <w:rPr>
                <w:rFonts w:cs="Times New Roman"/>
                <w:sz w:val="22"/>
                <w:szCs w:val="22"/>
                <w:u w:val="single"/>
                <w:lang w:val="fr-FR" w:eastAsia="en-GB"/>
              </w:rPr>
            </w:pPr>
            <w:proofErr w:type="spellStart"/>
            <w:r w:rsidRPr="00E27A9A">
              <w:rPr>
                <w:rFonts w:cs="Times New Roman"/>
                <w:i/>
                <w:iCs/>
                <w:lang w:val="fr-FR" w:eastAsia="en-GB"/>
              </w:rPr>
              <w:t>Metabolic</w:t>
            </w:r>
            <w:proofErr w:type="spellEnd"/>
            <w:r w:rsidRPr="00E27A9A">
              <w:rPr>
                <w:rFonts w:cs="Times New Roman"/>
                <w:i/>
                <w:iCs/>
                <w:lang w:val="fr-FR" w:eastAsia="en-GB"/>
              </w:rPr>
              <w:t xml:space="preserve"> </w:t>
            </w:r>
            <w:proofErr w:type="spellStart"/>
            <w:r w:rsidRPr="00E27A9A">
              <w:rPr>
                <w:rFonts w:cs="Times New Roman"/>
                <w:i/>
                <w:iCs/>
                <w:lang w:val="fr-FR" w:eastAsia="en-GB"/>
              </w:rPr>
              <w:t>brain</w:t>
            </w:r>
            <w:proofErr w:type="spellEnd"/>
            <w:r w:rsidRPr="00E27A9A">
              <w:rPr>
                <w:rFonts w:cs="Times New Roman"/>
                <w:i/>
                <w:iCs/>
                <w:lang w:val="fr-FR" w:eastAsia="en-GB"/>
              </w:rPr>
              <w:t xml:space="preserve"> </w:t>
            </w:r>
            <w:proofErr w:type="spellStart"/>
            <w:r w:rsidRPr="00E27A9A">
              <w:rPr>
                <w:rFonts w:cs="Times New Roman"/>
                <w:i/>
                <w:iCs/>
                <w:lang w:val="fr-FR" w:eastAsia="en-GB"/>
              </w:rPr>
              <w:t>disease</w:t>
            </w:r>
            <w:proofErr w:type="spellEnd"/>
            <w:r w:rsidRPr="00A84FA1">
              <w:rPr>
                <w:rFonts w:cs="Times New Roman"/>
                <w:lang w:val="fr-FR" w:eastAsia="en-GB"/>
              </w:rPr>
              <w:t xml:space="preserve"> (12 citations)</w:t>
            </w:r>
          </w:p>
        </w:tc>
        <w:tc>
          <w:tcPr>
            <w:tcW w:w="2424" w:type="dxa"/>
            <w:hideMark/>
          </w:tcPr>
          <w:p w14:paraId="7D61ADA9"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ORAI2, STIM1, TRPC3, and TPI1 identified as significant genetic markers.</w:t>
            </w:r>
          </w:p>
        </w:tc>
        <w:tc>
          <w:tcPr>
            <w:tcW w:w="2234" w:type="dxa"/>
            <w:hideMark/>
          </w:tcPr>
          <w:p w14:paraId="2750172B"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ML classification algorithms, explainable AI techniques, Naive Bayes classifier.</w:t>
            </w:r>
          </w:p>
        </w:tc>
        <w:tc>
          <w:tcPr>
            <w:tcW w:w="2643" w:type="dxa"/>
            <w:hideMark/>
          </w:tcPr>
          <w:p w14:paraId="4695A051"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Explainable AI with supervised ML classification algorithms for biomarker identification.</w:t>
            </w:r>
          </w:p>
        </w:tc>
      </w:tr>
      <w:tr w:rsidR="00A84FA1" w:rsidRPr="00B66497" w14:paraId="5E86B876" w14:textId="77777777" w:rsidTr="00242F43">
        <w:trPr>
          <w:trHeight w:val="1587"/>
        </w:trPr>
        <w:tc>
          <w:tcPr>
            <w:tcW w:w="2969" w:type="dxa"/>
            <w:noWrap/>
            <w:hideMark/>
          </w:tcPr>
          <w:p w14:paraId="5A1F267E" w14:textId="65AA0343" w:rsidR="00A84FA1" w:rsidRPr="00B66497" w:rsidRDefault="00A84FA1" w:rsidP="00B66497">
            <w:pPr>
              <w:spacing w:after="0" w:line="276" w:lineRule="auto"/>
              <w:rPr>
                <w:rFonts w:cs="Times New Roman"/>
                <w:sz w:val="22"/>
                <w:szCs w:val="22"/>
                <w:u w:val="single"/>
                <w:lang w:val="en-GB" w:eastAsia="en-GB"/>
              </w:rPr>
            </w:pPr>
            <w:hyperlink r:id="rId9" w:tgtFrame="_blank" w:history="1">
              <w:r w:rsidRPr="00B66497">
                <w:rPr>
                  <w:rFonts w:cs="Times New Roman"/>
                  <w:sz w:val="22"/>
                  <w:szCs w:val="22"/>
                  <w:u w:val="single"/>
                  <w:lang w:val="en-GB" w:eastAsia="en-GB"/>
                </w:rPr>
                <w:t>Jemimah et al, 2023</w:t>
              </w:r>
            </w:hyperlink>
            <w:r w:rsidR="00FC4471">
              <w:rPr>
                <w:rFonts w:cs="Times New Roman"/>
                <w:sz w:val="22"/>
                <w:szCs w:val="22"/>
                <w:u w:val="single"/>
                <w:lang w:val="en-GB" w:eastAsia="en-GB"/>
              </w:rPr>
              <w:t>;</w:t>
            </w:r>
          </w:p>
          <w:p w14:paraId="6F3392B4" w14:textId="7814A7BB"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BMC Medical Genomics</w:t>
            </w:r>
            <w:r w:rsidRPr="00B66497">
              <w:rPr>
                <w:rFonts w:cs="Times New Roman"/>
                <w:lang w:val="en-GB" w:eastAsia="en-GB"/>
              </w:rPr>
              <w:t xml:space="preserve"> (5 citations)</w:t>
            </w:r>
          </w:p>
        </w:tc>
        <w:tc>
          <w:tcPr>
            <w:tcW w:w="2424" w:type="dxa"/>
            <w:hideMark/>
          </w:tcPr>
          <w:p w14:paraId="288FF5E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SNPs in PRKCZ, PLCB1, ITPR2; expression of HLA-DQB1, EIF1AY, HLA-DQA1, ZFP57.</w:t>
            </w:r>
          </w:p>
        </w:tc>
        <w:tc>
          <w:tcPr>
            <w:tcW w:w="2234" w:type="dxa"/>
            <w:hideMark/>
          </w:tcPr>
          <w:p w14:paraId="35D8A78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Deep learning classifier, constrained neural network, SHAP explanations.</w:t>
            </w:r>
          </w:p>
        </w:tc>
        <w:tc>
          <w:tcPr>
            <w:tcW w:w="2643" w:type="dxa"/>
            <w:hideMark/>
          </w:tcPr>
          <w:p w14:paraId="53A0E53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c-Diadem model with KEGG pathway constraints for genetic marker identification.</w:t>
            </w:r>
          </w:p>
        </w:tc>
      </w:tr>
      <w:tr w:rsidR="00A84FA1" w:rsidRPr="00B66497" w14:paraId="628702B3" w14:textId="77777777" w:rsidTr="00866585">
        <w:trPr>
          <w:trHeight w:val="1606"/>
        </w:trPr>
        <w:tc>
          <w:tcPr>
            <w:tcW w:w="2969" w:type="dxa"/>
            <w:noWrap/>
            <w:hideMark/>
          </w:tcPr>
          <w:p w14:paraId="022F52BE" w14:textId="464C08AA" w:rsidR="00A84FA1" w:rsidRPr="00A84FA1" w:rsidRDefault="00A84FA1" w:rsidP="00B66497">
            <w:pPr>
              <w:spacing w:after="0" w:line="276" w:lineRule="auto"/>
              <w:rPr>
                <w:rFonts w:cs="Times New Roman"/>
                <w:sz w:val="22"/>
                <w:szCs w:val="22"/>
                <w:u w:val="single"/>
                <w:lang w:val="fr-FR" w:eastAsia="en-GB"/>
              </w:rPr>
            </w:pPr>
            <w:hyperlink r:id="rId10" w:tgtFrame="_blank" w:history="1">
              <w:r w:rsidRPr="00A84FA1">
                <w:rPr>
                  <w:rFonts w:cs="Times New Roman"/>
                  <w:sz w:val="22"/>
                  <w:szCs w:val="22"/>
                  <w:u w:val="single"/>
                  <w:lang w:val="fr-FR" w:eastAsia="en-GB"/>
                </w:rPr>
                <w:t>Huang et al, 2021</w:t>
              </w:r>
            </w:hyperlink>
            <w:r w:rsidR="00FC4471" w:rsidRPr="00D677A9">
              <w:rPr>
                <w:rFonts w:cs="Times New Roman"/>
                <w:sz w:val="22"/>
                <w:szCs w:val="22"/>
                <w:u w:val="single"/>
                <w:lang w:val="fr-FR" w:eastAsia="en-GB"/>
              </w:rPr>
              <w:t>;</w:t>
            </w:r>
          </w:p>
          <w:p w14:paraId="7F8DE4FC" w14:textId="6C85F0BA" w:rsidR="00A84FA1" w:rsidRPr="00A84FA1" w:rsidRDefault="00A84FA1" w:rsidP="00B66497">
            <w:pPr>
              <w:spacing w:after="0" w:line="276" w:lineRule="auto"/>
              <w:rPr>
                <w:rFonts w:cs="Times New Roman"/>
                <w:sz w:val="22"/>
                <w:szCs w:val="22"/>
                <w:u w:val="single"/>
                <w:lang w:val="fr-FR" w:eastAsia="en-GB"/>
              </w:rPr>
            </w:pPr>
            <w:r w:rsidRPr="00E27A9A">
              <w:rPr>
                <w:rFonts w:cs="Times New Roman"/>
                <w:i/>
                <w:iCs/>
                <w:lang w:val="fr-FR" w:eastAsia="en-GB"/>
              </w:rPr>
              <w:t>Nature Communications</w:t>
            </w:r>
            <w:r w:rsidRPr="00A84FA1">
              <w:rPr>
                <w:rFonts w:cs="Times New Roman"/>
                <w:lang w:val="fr-FR" w:eastAsia="en-GB"/>
              </w:rPr>
              <w:t xml:space="preserve"> (39 citations)</w:t>
            </w:r>
          </w:p>
        </w:tc>
        <w:tc>
          <w:tcPr>
            <w:tcW w:w="2424" w:type="dxa"/>
            <w:hideMark/>
          </w:tcPr>
          <w:p w14:paraId="019693A2"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 xml:space="preserve">Hundreds of new significant brain </w:t>
            </w:r>
            <w:proofErr w:type="spellStart"/>
            <w:r w:rsidRPr="00B66497">
              <w:rPr>
                <w:rFonts w:cs="Times New Roman"/>
                <w:lang w:val="en-GB" w:eastAsia="en-GB"/>
              </w:rPr>
              <w:t>CpGs</w:t>
            </w:r>
            <w:proofErr w:type="spellEnd"/>
            <w:r w:rsidRPr="00B66497">
              <w:rPr>
                <w:rFonts w:cs="Times New Roman"/>
                <w:lang w:val="en-GB" w:eastAsia="en-GB"/>
              </w:rPr>
              <w:t xml:space="preserve"> associated with AD.</w:t>
            </w:r>
          </w:p>
        </w:tc>
        <w:tc>
          <w:tcPr>
            <w:tcW w:w="2234" w:type="dxa"/>
            <w:hideMark/>
          </w:tcPr>
          <w:p w14:paraId="08AA59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Supervised machine learning strategy.</w:t>
            </w:r>
          </w:p>
        </w:tc>
        <w:tc>
          <w:tcPr>
            <w:tcW w:w="2643" w:type="dxa"/>
            <w:hideMark/>
          </w:tcPr>
          <w:p w14:paraId="0A39B2A4" w14:textId="77777777" w:rsidR="00A84FA1" w:rsidRPr="00B66497" w:rsidRDefault="00A84FA1" w:rsidP="00B66497">
            <w:pPr>
              <w:spacing w:after="0" w:line="276" w:lineRule="auto"/>
              <w:rPr>
                <w:rFonts w:cs="Times New Roman"/>
                <w:lang w:val="en-GB" w:eastAsia="en-GB"/>
              </w:rPr>
            </w:pPr>
            <w:proofErr w:type="spellStart"/>
            <w:r w:rsidRPr="00B66497">
              <w:rPr>
                <w:rFonts w:cs="Times New Roman"/>
                <w:lang w:val="en-GB" w:eastAsia="en-GB"/>
              </w:rPr>
              <w:t>EWASplus</w:t>
            </w:r>
            <w:proofErr w:type="spellEnd"/>
            <w:r w:rsidRPr="00B66497">
              <w:rPr>
                <w:rFonts w:cs="Times New Roman"/>
                <w:lang w:val="en-GB" w:eastAsia="en-GB"/>
              </w:rPr>
              <w:t>, a supervised machine learning tool extending EWAS coverage to entire genome for AD analysis.</w:t>
            </w:r>
          </w:p>
        </w:tc>
      </w:tr>
      <w:tr w:rsidR="00A84FA1" w:rsidRPr="00B66497" w14:paraId="02AA6D3E" w14:textId="77777777" w:rsidTr="00BA5659">
        <w:trPr>
          <w:trHeight w:val="1587"/>
        </w:trPr>
        <w:tc>
          <w:tcPr>
            <w:tcW w:w="2969" w:type="dxa"/>
            <w:noWrap/>
            <w:hideMark/>
          </w:tcPr>
          <w:p w14:paraId="365F8666" w14:textId="6DF54E1A" w:rsidR="00A84FA1" w:rsidRPr="00B66497" w:rsidRDefault="00A84FA1" w:rsidP="00B66497">
            <w:pPr>
              <w:spacing w:after="0" w:line="276" w:lineRule="auto"/>
              <w:rPr>
                <w:rFonts w:cs="Times New Roman"/>
                <w:sz w:val="22"/>
                <w:szCs w:val="22"/>
                <w:u w:val="single"/>
                <w:lang w:val="en-GB" w:eastAsia="en-GB"/>
              </w:rPr>
            </w:pPr>
            <w:hyperlink r:id="rId11" w:tgtFrame="_blank" w:history="1">
              <w:r w:rsidRPr="00B66497">
                <w:rPr>
                  <w:rFonts w:cs="Times New Roman"/>
                  <w:sz w:val="22"/>
                  <w:szCs w:val="22"/>
                  <w:u w:val="single"/>
                  <w:lang w:val="en-GB" w:eastAsia="en-GB"/>
                </w:rPr>
                <w:t>Zhu et al, 2024</w:t>
              </w:r>
            </w:hyperlink>
            <w:r w:rsidR="00FC4471">
              <w:rPr>
                <w:rFonts w:cs="Times New Roman"/>
                <w:sz w:val="22"/>
                <w:szCs w:val="22"/>
                <w:u w:val="single"/>
                <w:lang w:val="en-GB" w:eastAsia="en-GB"/>
              </w:rPr>
              <w:t>;</w:t>
            </w:r>
          </w:p>
          <w:p w14:paraId="09684B4E" w14:textId="09B3D0BF" w:rsidR="00A84FA1" w:rsidRPr="00B66497" w:rsidRDefault="00A84FA1" w:rsidP="00B66497">
            <w:pPr>
              <w:spacing w:after="0" w:line="276" w:lineRule="auto"/>
              <w:rPr>
                <w:rFonts w:cs="Times New Roman"/>
                <w:sz w:val="22"/>
                <w:szCs w:val="22"/>
                <w:u w:val="single"/>
                <w:lang w:val="en-GB" w:eastAsia="en-GB"/>
              </w:rPr>
            </w:pPr>
            <w:r w:rsidRPr="00E27A9A">
              <w:rPr>
                <w:rFonts w:cs="Times New Roman"/>
                <w:i/>
                <w:iCs/>
                <w:lang w:val="en-GB" w:eastAsia="en-GB"/>
              </w:rPr>
              <w:t>Alzheimer's Research &amp; Therapy</w:t>
            </w:r>
            <w:r w:rsidRPr="00B66497">
              <w:rPr>
                <w:rFonts w:cs="Times New Roman"/>
                <w:lang w:val="en-GB" w:eastAsia="en-GB"/>
              </w:rPr>
              <w:t xml:space="preserve"> (9 citations)</w:t>
            </w:r>
          </w:p>
        </w:tc>
        <w:tc>
          <w:tcPr>
            <w:tcW w:w="2424" w:type="dxa"/>
            <w:hideMark/>
          </w:tcPr>
          <w:p w14:paraId="011DB77F"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69 proteins with genetically predicted concentrations associated with AD risk.</w:t>
            </w:r>
          </w:p>
        </w:tc>
        <w:tc>
          <w:tcPr>
            <w:tcW w:w="2234" w:type="dxa"/>
            <w:hideMark/>
          </w:tcPr>
          <w:p w14:paraId="6C15338A"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protein levels in plasma.</w:t>
            </w:r>
          </w:p>
        </w:tc>
        <w:tc>
          <w:tcPr>
            <w:tcW w:w="2643" w:type="dxa"/>
            <w:hideMark/>
          </w:tcPr>
          <w:p w14:paraId="04671C04" w14:textId="77777777" w:rsidR="00A84FA1" w:rsidRPr="00B66497" w:rsidRDefault="00A84FA1" w:rsidP="00B66497">
            <w:pPr>
              <w:spacing w:after="0" w:line="276" w:lineRule="auto"/>
              <w:rPr>
                <w:rFonts w:cs="Times New Roman"/>
                <w:lang w:val="en-GB" w:eastAsia="en-GB"/>
              </w:rPr>
            </w:pPr>
            <w:r w:rsidRPr="00B66497">
              <w:rPr>
                <w:rFonts w:cs="Times New Roman"/>
                <w:lang w:val="en-GB" w:eastAsia="en-GB"/>
              </w:rPr>
              <w:t>Genetic prediction models for plasma protein levels in AD analysis.</w:t>
            </w:r>
          </w:p>
        </w:tc>
      </w:tr>
    </w:tbl>
    <w:p w14:paraId="1E1E24BC" w14:textId="77777777" w:rsidR="00C24699" w:rsidRPr="00B66497" w:rsidRDefault="00C24699" w:rsidP="00B66497">
      <w:pPr>
        <w:spacing w:line="276" w:lineRule="auto"/>
        <w:rPr>
          <w:rFonts w:cs="Times New Roman"/>
        </w:rPr>
      </w:pPr>
    </w:p>
    <w:p w14:paraId="0800A239" w14:textId="45B6A33F" w:rsidR="00071A84" w:rsidRDefault="00071A84" w:rsidP="00071A84">
      <w:pPr>
        <w:pStyle w:val="Paragraph"/>
        <w:ind w:firstLine="0"/>
      </w:pPr>
      <w:r>
        <w:br w:type="page"/>
      </w:r>
    </w:p>
    <w:p w14:paraId="0AA18FD1" w14:textId="47D874B2" w:rsidR="00C24699" w:rsidRDefault="00071A84" w:rsidP="008E713D">
      <w:pPr>
        <w:pStyle w:val="Heading1"/>
      </w:pPr>
      <w:r>
        <w:lastRenderedPageBreak/>
        <w:t>Data integration and mult</w:t>
      </w:r>
      <w:r w:rsidR="008E713D">
        <w:t>imodal approaches</w:t>
      </w:r>
    </w:p>
    <w:p w14:paraId="6B29DF05" w14:textId="26B70F57" w:rsidR="0045364E" w:rsidRDefault="008E713D" w:rsidP="008E713D">
      <w:pPr>
        <w:pStyle w:val="Paragraph"/>
      </w:pPr>
      <w:bookmarkStart w:id="1" w:name="_Hlk206793914"/>
      <w:r w:rsidRPr="008E713D">
        <w:t xml:space="preserve">The integration of genetic data with other biomarkers represents a major advancement in AI-based Alzheimer's prediction, as researchers have found that multimodal approaches consistently outperform single-data-type models </w:t>
      </w:r>
      <w:r>
        <w:fldChar w:fldCharType="begin"/>
      </w:r>
      <w:r>
        <w:instrText xml:space="preserve"> ADDIN ZOTERO_ITEM CSL_CITATION {"citationID":"iyG9WVEE","properties":{"formattedCitation":"[11]","plainCitation":"[11]","noteIndex":0},"citationItems":[{"id":901,"uris":["http://zotero.org/users/14116543/items/AWFQXC7K"],"itemData":{"id":901,"type":"article-journal","abstract":"Biomarker-based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8E713D">
        <w:rPr>
          <w:rFonts w:cs="Times New Roman"/>
        </w:rPr>
        <w:t>[11]</w:t>
      </w:r>
      <w:r>
        <w:fldChar w:fldCharType="end"/>
      </w:r>
      <w:r>
        <w:t xml:space="preserve">. </w:t>
      </w:r>
      <w:r w:rsidRPr="008E713D">
        <w:t xml:space="preserve">AI algorithms can now analyze massive quantities of data from numerous sources, including medical images, proteins in blood and cerebrospinal fluid, genetic information, clinical records, and even behavioral data </w:t>
      </w:r>
      <w:r>
        <w:fldChar w:fldCharType="begin"/>
      </w:r>
      <w:r>
        <w:instrText xml:space="preserve"> ADDIN ZOTERO_ITEM CSL_CITATION {"citationID":"uqiuYdi3","properties":{"formattedCitation":"[31]","plainCitation":"[31]","noteIndex":0},"citationItems":[{"id":941,"uris":["http://zotero.org/users/14116543/items/4VWXP8S2"],"itemData":{"id":941,"type":"article-journal","abstract":"Recent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schema":"https://github.com/citation-style-language/schema/raw/master/csl-citation.json"} </w:instrText>
      </w:r>
      <w:r>
        <w:fldChar w:fldCharType="separate"/>
      </w:r>
      <w:r w:rsidRPr="008E713D">
        <w:rPr>
          <w:rFonts w:cs="Times New Roman"/>
        </w:rPr>
        <w:t>[31]</w:t>
      </w:r>
      <w:r>
        <w:fldChar w:fldCharType="end"/>
      </w:r>
      <w:r>
        <w:t xml:space="preserve">. </w:t>
      </w:r>
      <w:r w:rsidR="00687748" w:rsidRPr="00687748">
        <w:t xml:space="preserve">One of the most successful combinations involves integrating neuroimaging with genetic data. Recent deep learning models like </w:t>
      </w:r>
      <w:proofErr w:type="spellStart"/>
      <w:r w:rsidR="00687748" w:rsidRPr="00687748">
        <w:t>IGnet</w:t>
      </w:r>
      <w:proofErr w:type="spellEnd"/>
      <w:r w:rsidR="00687748" w:rsidRPr="00687748">
        <w:t xml:space="preserve"> achieve 83.78% classification accuracy and 0.924 AUC-ROC by combining MRI scans with genetic sequencing data from chromosome 19 </w:t>
      </w:r>
      <w:r w:rsidR="00687748">
        <w:fldChar w:fldCharType="begin"/>
      </w:r>
      <w:r w:rsidR="00687748">
        <w:instrText xml:space="preserve"> ADDIN ZOTERO_ITEM CSL_CITATION {"citationID":"16U8jV30","properties":{"formattedCitation":"[16]","plainCitation":"[16]","noteIndex":0},"citationItems":[{"id":912,"uris":["http://zotero.org/users/14116543/items/B7QIJ2E9"],"itemData":{"id":912,"type":"article-journal","abstract":"The application of deep learning techniques to the detection and automated classification of Alzheimer's disease (AD) has recently gained considerable attention. The rapid progress in neuroimaging and sequencing techniques has enabled the generation of large-scale imaging genetic data for AD research. In this study, we developed a deep learning approach, IGnet, for automated AD classification using both magnetic resonance imaging (MRI) data and genetic sequencing data. The proposed approach integrates computer vision (CV) and natural language processing (NLP) techniques, with a deep three-dimensional convolutional network (3D CNN) being used to handle the three-dimensional MRI input and a Transformer encoder being used to manage the genetic sequence input. The proposed approach has been applied to the Alzheimer's Disease Neuroimaging Initiative (ADNI) data set. Using baseline MRI scans and selected single-nucleotide polymorphisms on chromosome 19, it achieved a classification accuracy of 83.78% and an area under the receiver operating characteristic curve (AUC-ROC) of 0.924 with the test set. The results demonstrate the great potential of using multi-disciplinary AI approaches to integrate imaging genetic data for the automated classification of AD.","container-title":"Frontiers in Neuroscience","DOI":"10.3389/fnins.2022.846638","ISSN":"1662-453X","journalAbbreviation":"Front. Neurosci.","page":"846638","source":"DOI.org (Crossref)","title":"Alzheimer's Disease Classification Through Imaging Genetic Data With IGnet","URL":"https://www.frontiersin.org/articles/10.3389/fnins.2022.846638/full","volume":"16","author":[{"family":"Wang","given":"Jade Xiaoqing"},{"family":"Li","given":"Yimei"},{"family":"Li","given":"Xintong"},{"family":"Lu","given":"Zhao-Hua"}],"accessed":{"date-parts":[["2025",8,22]]},"issued":{"date-parts":[["2022",3,3]]}}}],"schema":"https://github.com/citation-style-language/schema/raw/master/csl-citation.json"} </w:instrText>
      </w:r>
      <w:r w:rsidR="00687748">
        <w:fldChar w:fldCharType="separate"/>
      </w:r>
      <w:r w:rsidR="00687748" w:rsidRPr="00687748">
        <w:rPr>
          <w:rFonts w:cs="Times New Roman"/>
        </w:rPr>
        <w:t>[16]</w:t>
      </w:r>
      <w:r w:rsidR="00687748">
        <w:fldChar w:fldCharType="end"/>
      </w:r>
      <w:r w:rsidR="00687748">
        <w:t xml:space="preserve">. </w:t>
      </w:r>
      <w:r w:rsidR="00687748" w:rsidRPr="00687748">
        <w:t xml:space="preserve">Studies using both brain MRI and genetic data from 543 patients show that genetic information better predicts disease progression while MRI </w:t>
      </w:r>
      <w:r w:rsidR="00687748">
        <w:t xml:space="preserve">data </w:t>
      </w:r>
      <w:r w:rsidR="00687748" w:rsidRPr="00687748">
        <w:t xml:space="preserve">better reflects anatomical brain changes, with combined approaches outperforming either method alone </w:t>
      </w:r>
      <w:r w:rsidR="00B02919">
        <w:fldChar w:fldCharType="begin"/>
      </w:r>
      <w:r w:rsidR="00B02919">
        <w:instrText xml:space="preserve"> ADDIN ZOTERO_ITEM CSL_CITATION {"citationID":"08WkaP8q","properties":{"formattedCitation":"[32], [33]","plainCitation":"[32], [33]","noteIndex":0},"citationItems":[{"id":943,"uris":["http://zotero.org/users/14116543/items/7D6H6D3C"],"itemData":{"id":943,"type":"article-journal","abstract":"Alzheimer’s disease (AD) is a progressive, neurodegenerative disorder that affects memory, thinking, behavior, and other cognitive functions. Although there is no cure, detecting AD early is important for the development of a therapeutic plan and a care plan that may preserve cognitive function and prevent irreversible damage. Neuroimaging, such as magnetic resonance imaging (MRI), computed tomography (CT), and positron emission tomography (PET), has served as a critical tool in establishing diagnostic indicators of AD during the preclinical stage. However, as neuroimaging technology quickly advances, there is a challenge in analyzing and interpreting vast amounts of brain imaging data. Given these limitations, there is great interest in using artificial Intelligence (AI) to assist in this process. AI introduces limitless possibilities in the future diagnosis of AD, yet there is still resistance from the healthcare community to incorporate AI in the clinical setting. The goal of this review is to answer the question of whether AI should be used in conjunction with neuroimaging in the diagnosis of AD. To answer the question, the possible benefits and disadvantages of AI are discussed. The main advantages of AI are its potential to improve diagnostic accuracy, improve the efficiency in analyzing radiographic data, reduce physician burnout, and advance precision medicine. The disadvantages include generalization and data shortage, lack of\n              in vivo\n              gold standard, skepticism in the medical community, potential for physician bias, and concerns over patient information, privacy, and safety. Although the challenges present fundamental concerns and must be addressed when the time comes, it would be unethical not to use AI if it can improve patient health and outcome.","container-title":"Frontiers in Aging Neuroscience","DOI":"10.3389/fnagi.2023.1094233","ISSN":"1663-4365","journalAbbreviation":"Front. Aging Neurosci.","page":"1094233","source":"DOI.org (Crossref)","title":"Should artificial intelligence be used in conjunction with Neuroimaging in the diagnosis of Alzheimer’s disease?","URL":"https://www.frontiersin.org/articles/10.3389/fnagi.2023.1094233/full","volume":"15","author":[{"family":"Mirkin","given":"Sophia"},{"family":"Albensi","given":"Benedict C."}],"accessed":{"date-parts":[["2025",8,24]]},"issued":{"date-parts":[["2023",4,18]]}}},{"id":945,"uris":["http://zotero.org/users/14116543/items/WZPP8AHC"],"itemData":{"id":945,"type":"article-journal","abstract":"Background: The increasing availability of databases containing both magnetic resonance imaging (MRI) and genetic data allows researchers to utilize multimodal data to better understand the characteristics of dementia of Alzheimer’s type (DAT). Objective: The goal of this study was to develop and analyze novel biomarkers that can help predict the development and progression of DAT. Methods: We used feature selection and ensemble learning classifier to develop an image/genotype-based DAT score that represents a subject’s likelihood of developing DAT in the future. Three feature types were used: MRI only, genetic only, and combined multimodal data. We used a novel data stratification method to better represent different stages of DAT. Using a pre-defined 0.5 threshold on DAT scores, we predicted whether a subject would develop DAT in the future. Results: Our results on Alzheimer’s Disease Neuroimaging Initiative (ADNI) database showed that dementia scores using genetic data could better predict future DAT progression for currently normal control subjects (Accuracy = 0.857) compared to MRI (Accuracy = 0.143), while MRI can better characterize subjects with stable mild cognitive impairment (Accuracy = 0.614) compared to genetics (Accuracy = 0.356). Combining MRI and genetic data showed improved classification performance in the remaining stratified groups. Conclusion: MRI and genetic data can contribute to DAT prediction in different ways. MRI data reflects anatomical changes in the brain, while genetic data can detect the risk of DAT progression prior to the symptomatic onset. Combining information from multimodal data appropriately can improve prediction performance.","container-title":"Journal of Alzheimer's Disease","DOI":"10.3233/JAD-220021","ISSN":"13872877, 18758908","issue":"3","journalAbbreviation":"JAD","page":"1345-1365","source":"DOI.org (Crossref)","title":"Machine Learning Based Multimodal Neuroimaging Genomics Dementia Score for Predicting Future Conversion to Alzheimer’s Disease","URL":"https://journals.sagepub.com/doi/full/10.3233/JAD-220021","volume":"87","author":[{"literal":"the Alzheimer’s Disease Neuroimaging Initiative"},{"family":"Mirabnahrazam","given":"Ghazal"},{"family":"Ma","given":"Da"},{"family":"Lee","given":"Sieun"},{"family":"Popuri","given":"Karteek"},{"family":"Lee","given":"Hyunwoo"},{"family":"Cao","given":"Jiguo"},{"family":"Wang","given":"Lei"},{"family":"Galvin","given":"James E."},{"family":"Beg","given":"Mirza Faisal"}],"accessed":{"date-parts":[["2025",8,24]]},"issued":{"date-parts":[["2022",5,31]]}}}],"schema":"https://github.com/citation-style-language/schema/raw/master/csl-citation.json"} </w:instrText>
      </w:r>
      <w:r w:rsidR="00B02919">
        <w:fldChar w:fldCharType="separate"/>
      </w:r>
      <w:r w:rsidR="00B02919" w:rsidRPr="00B02919">
        <w:rPr>
          <w:rFonts w:cs="Times New Roman"/>
        </w:rPr>
        <w:t>[32], [33]</w:t>
      </w:r>
      <w:r w:rsidR="00B02919">
        <w:fldChar w:fldCharType="end"/>
      </w:r>
      <w:r w:rsidR="00B02919">
        <w:t>.</w:t>
      </w:r>
      <w:r w:rsidR="007B4A2B">
        <w:t xml:space="preserve"> </w:t>
      </w:r>
      <w:r w:rsidR="00B02919" w:rsidRPr="00B02919">
        <w:t xml:space="preserve">Advanced AI systems are now incorporating even more diverse data types for comprehensive risk assessment. Modern predictive algorithms can integrate brain imaging, genetic markers, blood biomarkers, cognitive test results, and even data from wearable technology that tracks heart rate, sleep patterns, and physical activity </w:t>
      </w:r>
      <w:r w:rsidR="00B02919">
        <w:fldChar w:fldCharType="begin"/>
      </w:r>
      <w:r w:rsidR="00B02919">
        <w:instrText xml:space="preserve"> ADDIN ZOTERO_ITEM CSL_CITATION {"citationID":"CVBO7eU7","properties":{"formattedCitation":"[34], [35], [36], [37]","plainCitation":"[34], [35], [36],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949,"uris":["http://zotero.org/users/14116543/items/87ZUC4WC"],"itemData":{"id":949,"type":"article-journal","abstract":"Wearable activity trackers are electronic devices that facilitate self-monitoring of information related to health. The purpose of this study was to examine the use of tracker devices to record daily activity (calories) and its associations with gender, generation, BMI, and physical activity behavior of United States of America resident adults; a cross-sectional study in 892 subjects recruited to participate in an anonymous online survey was performed. Being female increased the odds of using a tracker device by 2.3 times. Having low cardiovascular disease mortality risk related to time spent sitting increased the odds for using a tracker device by 2.7 times, and having medium risk 1.9 times, with respect to having high risk. For every 1-point increase in BMI, the odds for using a tracker device increased by 5.2%. Conclusions: Subjects who had ever used any tracker device had a higher BMI. The use of tracker devices was related to lower cardiovascular disease mortality risk related to sitting time. The amount of physical activity and the time spent walking were not associated with the usage of tracker devices. It is possible that the user of tracker devices should be supported by professionals to implement deep change in health habits.","container-title":"Sensors","DOI":"10.3390/s22082960","ISSN":"1424-8220","issue":"8","journalAbbreviation":"Sensors","language":"en","license":"https://creativecommons.org/licenses/by/4.0/","page":"2960","source":"DOI.org (Crossref)","title":"Health Habits and Wearable Activity Tracker Devices: Analytical Cross-Sectional Study","title-short":"Health Habits and Wearable Activity Tracker Devices","URL":"https://www.mdpi.com/1424-8220/22/8/2960","volume":"22","author":[{"family":"Tricás-Vidal","given":"Héctor José"},{"family":"Lucha-López","given":"María Orosia"},{"family":"Hidalgo-García","given":"César"},{"family":"Vidal-Peracho","given":"María Concepción"},{"family":"Monti-Ballano","given":"Sofía"},{"family":"Tricás-Moreno","given":"José Miguel"}],"accessed":{"date-parts":[["2025",8,24]]},"issued":{"date-parts":[["2022",4,12]]}}},{"id":951,"uris":["http://zotero.org/users/14116543/items/WIBDKLRF"],"itemData":{"id":951,"type":"article-journal","abstract":"This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rsidR="00B02919">
        <w:fldChar w:fldCharType="separate"/>
      </w:r>
      <w:r w:rsidR="00B02919" w:rsidRPr="00B02919">
        <w:rPr>
          <w:rFonts w:cs="Times New Roman"/>
        </w:rPr>
        <w:t>[34], [35], [36], [37]</w:t>
      </w:r>
      <w:r w:rsidR="00B02919">
        <w:fldChar w:fldCharType="end"/>
      </w:r>
      <w:r w:rsidR="00B02919">
        <w:t xml:space="preserve">. </w:t>
      </w:r>
      <w:r w:rsidR="00B02919" w:rsidRPr="00B02919">
        <w:t xml:space="preserve">Network-based models like </w:t>
      </w:r>
      <w:proofErr w:type="spellStart"/>
      <w:r w:rsidR="00B02919" w:rsidRPr="00B02919">
        <w:t>BrainNetScore</w:t>
      </w:r>
      <w:proofErr w:type="spellEnd"/>
      <w:r w:rsidR="00B02919" w:rsidRPr="00B02919">
        <w:t xml:space="preserve"> demonstrate the power of this approach by integrating brain connectivity networks with genetic associations, achieving AUC values of 0.684 for combined genetic and brain imaging data, improving to 0.778 when clinical covariates are included </w:t>
      </w:r>
      <w:r w:rsidR="00B02919">
        <w:fldChar w:fldCharType="begin"/>
      </w:r>
      <w:r w:rsidR="00B02919">
        <w:instrText xml:space="preserve"> ADDIN ZOTERO_ITEM CSL_CITATION {"citationID":"2Q2qTsOc","properties":{"formattedCitation":"[17]","plainCitation":"[17]","noteIndex":0},"citationItems":[{"id":914,"uris":["http://zotero.org/users/14116543/items/TB6EL787"],"itemData":{"id":914,"type":"article-journal","abstract":"Abstract\n            \n              Background\n              Alzheimer’s disease (AD), characterized by significant brain volume reduction, is influenced by genetic predispositions related to brain volumetric phenotypes. While genome‐wide association studies (GWASs) have linked brain imaging‐derived phenotypes (IDPs) with AD, existing polygenic risk scores (PRSs) based models inadequately capture this relationship. We develop BrainNetScore, a network‐based model enhancing AD risk prediction by integrating genetic associations between multiple brain IDPs and AD incidence.\n            \n            \n              Method\n              Utilizing UK Biobank GWAS summary statistics, we constructed a brain connectivity network from 96 regional brain volume IDPs. This network was expanded into a heterogenous BrainNet graph, incorporating 96 IDPs and 12,043 common variants (SNPs) linked to each IDP. Individual genotype data from independent cohorts, including the Alzheimer’s Disease Neuroimaging Initiative (ADNI), were analyzed. Label propagation algorithms generated individualized predicted scores for IDPs, subsequently aggregated into BrainNetScore via logistic regression.\n            \n            \n              Result\n              BrainNet was built from GWAS summary statistics of 96 brain volume IDPs and individual genotype data for 914 samples (550 AD cases, 364 cognitive normal controls) from ADNI. We compared the predictive performance of BrainNetScore against conventional PRS models (Figure 1). The combined PRS + BrainNetScore model showed a superior average AUC of 0.684 ± 0.034, over PRS only (0.595 ± 0.075) and BrainNetScore only (0.666 ± 0.029) models. Including sex as a covariate and APOE genotypes further enhanced predictive accuracy (0.778 ± 0.043).\n            \n            \n              Conclusion\n              BrainNetScore significantly improves AD risk prediction when combined with PRSs. This highlights the potential of network‐based approaches and comprehensive genetic analysis in developing personalized medicine strategies for AD. Future work should extend this model to diverse populations.","container-title":"Alzheimer's &amp; Dementia","DOI":"10.1002/alz.084351","ISSN":"1552-5260, 1552-5279","issue":"S1","journalAbbreviation":"Alzheimer's &amp;amp; Dementia","language":"en","page":"e084351","source":"DOI.org (Crossref)","title":"BrainNetScore: Enhancing Alzheimer’s disease risk prediction using genetic‐guided brain volumetric phenotype network","title-short":"BrainNetScore","URL":"https://alz-journals.onlinelibrary.wiley.com/doi/10.1002/alz.084351","volume":"20","author":[{"family":"Nam","given":"Yonghyun"},{"family":"Woerner","given":"Jakob"},{"family":"Jung","given":"Sang‐Hyuk"},{"family":"Suh","given":"Erica H"},{"family":"Shou","given":"Haochang"},{"family":"Shen","given":"Li"},{"family":"Kim","given":"Dokyoon"}],"accessed":{"date-parts":[["2025",8,22]]},"issued":{"date-parts":[["2024",12]]}}}],"schema":"https://github.com/citation-style-language/schema/raw/master/csl-citation.json"} </w:instrText>
      </w:r>
      <w:r w:rsidR="00B02919">
        <w:fldChar w:fldCharType="separate"/>
      </w:r>
      <w:r w:rsidR="00B02919" w:rsidRPr="00B02919">
        <w:rPr>
          <w:rFonts w:cs="Times New Roman"/>
        </w:rPr>
        <w:t>[17]</w:t>
      </w:r>
      <w:r w:rsidR="00B02919">
        <w:fldChar w:fldCharType="end"/>
      </w:r>
      <w:r w:rsidR="00B02919">
        <w:t>.</w:t>
      </w:r>
      <w:r w:rsidR="007B4A2B">
        <w:t xml:space="preserve"> </w:t>
      </w:r>
      <w:r w:rsidR="00B02919" w:rsidRPr="00B02919">
        <w:t xml:space="preserve">Epigenetic data integration has also shown remarkable results, with machine learning methods like </w:t>
      </w:r>
      <w:proofErr w:type="spellStart"/>
      <w:r w:rsidR="00B02919" w:rsidRPr="00B02919">
        <w:t>EWASplus</w:t>
      </w:r>
      <w:proofErr w:type="spellEnd"/>
      <w:r w:rsidR="00B02919" w:rsidRPr="00B02919">
        <w:t xml:space="preserve"> extending genome-wide coverage to predict hundreds of new brain methylation sites associated with Alzheimer's disease </w:t>
      </w:r>
      <w:r w:rsidR="00B02919">
        <w:fldChar w:fldCharType="begin"/>
      </w:r>
      <w:r w:rsidR="00B02919">
        <w:instrText xml:space="preserve"> ADDIN ZOTERO_ITEM CSL_CITATION {"citationID":"sP38vo7u","properties":{"formattedCitation":"[26], [27]","plainCitation":"[26], [27]","noteIndex":0},"citationItems":[{"id":930,"uris":["http://zotero.org/users/14116543/items/92LZ5D9E"],"itemData":{"id":930,"type":"article-journal","container-title":"Mayo Clinic Proceedings: Digital Health","DOI":"10.1016/j.mcpdig.2023.07.005","ISSN":"29497612","issue":"4","journalAbbreviation":"Mayo Clinic Proceedings: Digital Health","language":"en","page":"476-479","source":"DOI.org (Crossref)","title":"The Potential for Artificial Intelligence Applied to Epigenetics","URL":"https://linkinghub.elsevier.com/retrieve/pii/S2949761223000652","volume":"1","author":[{"family":"Vinciguerra","given":"Manlio"}],"accessed":{"date-parts":[["2025",8,24]]},"issued":{"date-parts":[["2023",12]]}}},{"id":932,"uris":["http://zotero.org/users/14116543/items/7JGGC4DC"],"itemData":{"id":932,"type":"article-journal","abstract":"Abstract\n            Alzheimer’s disease (AD) is influenced by both genetic and environmental factors; thus, brain epigenomic alterations may provide insights into AD pathogenesis. Multiple array-based Epigenome-Wide Association Studies (EWASs) have identified robust brain methylation changes in AD; however, array-based assays only test about 2% of all CpG sites in the genome. Here, we develop EWASplus, a computational method that uses a supervised machine learning strategy to extend EWAS coverage to the entire genome. Application to six AD-related traits predicts hundreds of new significant brain CpGs associated with AD, some of which are further validated experimentally. EWASplus also performs well on data collected from independent cohorts and different brain regions. Genes found near top EWASplus loci are enriched for kinases and for genes with evidence for physical interactions with known AD genes. In this work, we show that EWASplus implicates additional epigenetic loci for AD that are not found using array-based AD EWASs.","container-title":"Nature Communications","DOI":"10.1038/s41467-021-24710-8","ISSN":"2041-1723","issue":"1","journalAbbreviation":"Nat Commun","language":"en","page":"4472","source":"DOI.org (Crossref)","title":"A machine learning approach to brain epigenetic analysis reveals kinases associated with Alzheimer’s disease","URL":"https://www.nature.com/articles/s41467-021-24710-8","volume":"12","author":[{"family":"Huang","given":"Yanting"},{"family":"Sun","given":"Xiaobo"},{"family":"Jiang","given":"Huige"},{"family":"Yu","given":"Shaojun"},{"family":"Robins","given":"Chloe"},{"family":"Armstrong","given":"Matthew J."},{"family":"Li","given":"Ronghua"},{"family":"Mei","given":"Zhen"},{"family":"Shi","given":"Xiaochuan"},{"family":"Gerasimov","given":"Ekaterina Sergeevna"},{"family":"De Jager","given":"Philip L."},{"family":"Bennett","given":"David A."},{"family":"Wingo","given":"Aliza P."},{"family":"Jin","given":"Peng"},{"family":"Wingo","given":"Thomas S."},{"family":"Qin","given":"Zhaohui S."}],"accessed":{"date-parts":[["2025",8,24]]},"issued":{"date-parts":[["2021",7,22]]}}}],"schema":"https://github.com/citation-style-language/schema/raw/master/csl-citation.json"} </w:instrText>
      </w:r>
      <w:r w:rsidR="00B02919">
        <w:fldChar w:fldCharType="separate"/>
      </w:r>
      <w:r w:rsidR="00B02919" w:rsidRPr="00B02919">
        <w:rPr>
          <w:rFonts w:cs="Times New Roman"/>
        </w:rPr>
        <w:t>[26], [27]</w:t>
      </w:r>
      <w:r w:rsidR="00B02919">
        <w:fldChar w:fldCharType="end"/>
      </w:r>
      <w:r w:rsidR="00B63EC3">
        <w:t xml:space="preserve">. </w:t>
      </w:r>
      <w:r w:rsidR="00B63EC3" w:rsidRPr="00B63EC3">
        <w:t xml:space="preserve">The most advanced multimodal systems can achieve up to 99% accuracy by combining RNA sequencing data with brain MRI images using transformer-based models and computer vision algorithms  </w:t>
      </w:r>
      <w:r w:rsidR="00B63EC3">
        <w:fldChar w:fldCharType="begin"/>
      </w:r>
      <w:r w:rsidR="00B63EC3">
        <w:instrText xml:space="preserve"> ADDIN ZOTERO_ITEM CSL_CITATION {"citationID":"aDJ5wg1K","properties":{"formattedCitation":"[20]","plainCitation":"[20]","noteIndex":0},"citationItems":[{"id":920,"uris":["http://zotero.org/users/14116543/items/UYK6JFFF"],"itemData":{"id":920,"type":"article-journal","abstract":"Alzheimer’s disease (AD) is a progressive brain ailment that causes memory loss, cognitive decline, and behavioral changes. It is quite concerning that one in nine adults over the age of 65 have AD. Currently there is almost no cure for AD except very few experimental treatments. However, early detection offers chances to take part in clinical trials or other investigations looking at potential new and effective Alzheimer’s treatments. To detect Alzheimer’s disease, brain scans such as computed tomography (CT), magnetic resonance imaging (MRI), or positron emission tomography (PET) can be performed. Many researches have been undertaken to use computer vision on MRI images, and their accuracy ranges from 80–90%, new computer vision algorithms and cutting-edge transformers have the potential to improve this performance.We utilize advanced transformers and computer vision algorithms to enhance diagnostic accuracy, achieving an impressive 99% accuracy in categorizing Alzheimer’s disease stages through translating RNA text data and brain MRI images in near-real-time. We integrate the Local Interpretable Model-agnostic Explanations (LIME) explainable AI (XAI) technique to ensure the transformers’ acceptance, reliability, and human interpretability. LIME helps identify crucial features in RNA sequences or specific areas in MRI images essential for diagnosing AD.","container-title":"PLOS One","DOI":"10.1371/journal.pone.0322607","ISSN":"1932-6203","issue":"5","journalAbbreviation":"PLoS One","language":"en","page":"e0322607","source":"DOI.org (Crossref)","title":"Leveraging transformers and explainable AI for Alzheimer’s disease interpretability","URL":"https://dx.plos.org/10.1371/journal.pone.0322607","volume":"20","author":[{"family":"Anzum","given":"Humaira"},{"family":"Sammo","given":"Nabil Sadd"},{"family":"Akhter","given":"Shamim"}],"editor":[{"family":"Uysal","given":"Fatih"}],"accessed":{"date-parts":[["2025",8,22]]},"issued":{"date-parts":[["2025",5,23]]}}}],"schema":"https://github.com/citation-style-language/schema/raw/master/csl-citation.json"} </w:instrText>
      </w:r>
      <w:r w:rsidR="00B63EC3">
        <w:fldChar w:fldCharType="separate"/>
      </w:r>
      <w:r w:rsidR="00B63EC3" w:rsidRPr="00B63EC3">
        <w:rPr>
          <w:rFonts w:cs="Times New Roman"/>
        </w:rPr>
        <w:t>[20]</w:t>
      </w:r>
      <w:r w:rsidR="00B63EC3">
        <w:fldChar w:fldCharType="end"/>
      </w:r>
      <w:r w:rsidR="00B63EC3">
        <w:t xml:space="preserve">. </w:t>
      </w:r>
      <w:r w:rsidR="00B63EC3" w:rsidRPr="00B63EC3">
        <w:t xml:space="preserve">Future research directions emphasize the importance of developing interactive AI interfaces that allow doctors to query and adjust predictions from these integrated multimodal systems </w:t>
      </w:r>
      <w:r w:rsidR="00B63EC3">
        <w:fldChar w:fldCharType="begin"/>
      </w:r>
      <w:r w:rsidR="00B63EC3">
        <w:instrText xml:space="preserve"> ADDIN ZOTERO_ITEM CSL_CITATION {"citationID":"nsbe3vXp","properties":{"formattedCitation":"[38]","plainCitation":"[38]","noteIndex":0},"citationItems":[{"id":957,"uris":["http://zotero.org/users/14116543/items/P3D4CINU"],"itemData":{"id":957,"type":"article-journal","abstract":"Introduction\n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rsidR="00B63EC3">
        <w:fldChar w:fldCharType="separate"/>
      </w:r>
      <w:r w:rsidR="00B63EC3" w:rsidRPr="00B63EC3">
        <w:rPr>
          <w:rFonts w:cs="Times New Roman"/>
        </w:rPr>
        <w:t>[38]</w:t>
      </w:r>
      <w:r w:rsidR="00B63EC3">
        <w:fldChar w:fldCharType="end"/>
      </w:r>
      <w:r w:rsidR="00B63EC3">
        <w:t>.</w:t>
      </w:r>
    </w:p>
    <w:p w14:paraId="61B48DDE" w14:textId="77777777" w:rsidR="0045364E" w:rsidRDefault="0045364E" w:rsidP="0045364E">
      <w:pPr>
        <w:pStyle w:val="Heading1"/>
      </w:pPr>
      <w:r>
        <w:t>Clinical application and future directions</w:t>
      </w:r>
    </w:p>
    <w:p w14:paraId="4F655ED1" w14:textId="3AB81C51" w:rsidR="008E713D" w:rsidRDefault="007B4A2B" w:rsidP="008E713D">
      <w:pPr>
        <w:pStyle w:val="Paragraph"/>
      </w:pPr>
      <w:r w:rsidRPr="007B4A2B">
        <w:t xml:space="preserve">Current clinical applications of genetic AI for Alzheimer's prediction are already showing promising real-world implementation. The first clinical AI decision support tool for predicting progression from early-stage dementia to Alzheimer's disease has been tested in multicenter </w:t>
      </w:r>
      <w:r w:rsidRPr="007B4A2B">
        <w:lastRenderedPageBreak/>
        <w:t xml:space="preserve">studies, demonstrating that the technology is at an advanced stage </w:t>
      </w:r>
      <w:r>
        <w:fldChar w:fldCharType="begin"/>
      </w:r>
      <w:r>
        <w:instrText xml:space="preserve"> ADDIN ZOTERO_ITEM CSL_CITATION {"citationID":"NxyvBNUB","properties":{"formattedCitation":"[11]","plainCitation":"[11]","noteIndex":0},"citationItems":[{"id":901,"uris":["http://zotero.org/users/14116543/items/AWFQXC7K"],"itemData":{"id":901,"type":"article-journal","abstract":"Biomarker-based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schema":"https://github.com/citation-style-language/schema/raw/master/csl-citation.json"} </w:instrText>
      </w:r>
      <w:r>
        <w:fldChar w:fldCharType="separate"/>
      </w:r>
      <w:r w:rsidRPr="007B4A2B">
        <w:rPr>
          <w:rFonts w:cs="Times New Roman"/>
        </w:rPr>
        <w:t>[11]</w:t>
      </w:r>
      <w:r>
        <w:fldChar w:fldCharType="end"/>
      </w:r>
      <w:r>
        <w:t xml:space="preserve">. </w:t>
      </w:r>
      <w:r w:rsidRPr="007B4A2B">
        <w:t xml:space="preserve">McGill University's psychiatry department is actively using AI systems that combine MRI scans with genetic markers to identify patients with cognitive decline signs even before formal diagnosis, processing data from about 800 individuals including normal controls and Alzheimer's patients </w:t>
      </w:r>
      <w:r>
        <w:fldChar w:fldCharType="begin"/>
      </w:r>
      <w:r>
        <w:instrText xml:space="preserve"> ADDIN ZOTERO_ITEM CSL_CITATION {"citationID":"HcKoALbo","properties":{"formattedCitation":"[23]","plainCitation":"[23]","noteIndex":0},"citationItems":[{"id":47,"uris":["http://zotero.org/users/14116543/items/LHQWUDFQ"],"itemData":{"id":47,"type":"article-journal","abstract":"Background\n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Machine learning models can now be used clinically to identify individuals at higher risk of developing Alzheimer's disease, enabling yearly monitoring with imaging technologies to detect disease development at the earliest possible moment  </w:t>
      </w:r>
      <w:r>
        <w:fldChar w:fldCharType="begin"/>
      </w:r>
      <w:r>
        <w:instrText xml:space="preserve"> ADDIN ZOTERO_ITEM CSL_CITATION {"citationID":"L4qNK1zY","properties":{"formattedCitation":"[1]","plainCitation":"[1]","noteIndex":0},"citationItems":[{"id":881,"uris":["http://zotero.org/users/14116543/items/QELW2MV8"],"itemData":{"id":881,"type":"article-journal","abstract":"Abstract\n            \n              Background\n              Late-Onset Alzheimer’s Disease (LOAD) is a leading form of dementia. There is no effective cure for LOAD, leaving the treatment efforts to depend on preventive cognitive therapies, which stand to benefit from the timely estimation of the risk of developing the disease. Fortunately, a growing number of Machine Learning methods that are well positioned to address this challenge are becoming available.\n            \n            \n              Results\n              We conducted systematic comparisons of representative Machine Learning models for predicting LOAD from genetic variation data provided by the Alzheimer’s Disease Neuroimaging Initiative (ADNI) cohort. Our experimental results demonstrate that the classification performance of the best models tested yielded </w:instrText>
      </w:r>
      <w:r>
        <w:rPr>
          <w:rFonts w:ascii="Cambria Math" w:hAnsi="Cambria Math" w:cs="Cambria Math"/>
        </w:rPr>
        <w:instrText>∼</w:instrText>
      </w:r>
      <w:r>
        <w:instrText xml:space="preserve">72% of area under the ROC curve.\n            \n            \n              Conclusions\n              Machine learning models are promising alternatives for estimating the genetic risk of LOAD. Systematic machine learning model selection also provides the opportunity to identify new genetic markers potentially associated with the disease.","container-title":"BMC Bioinformatics","DOI":"10.1186/s12859-019-3158-x","ISSN":"1471-2105","issue":"1","journalAbbreviation":"BMC Bioinformatics","language":"en","page":"709","source":"DOI.org (Crossref)","title":"Benchmarking machine learning models for late-onset alzheimer’s disease prediction from genomic data","URL":"https://bmcbioinformatics.biomedcentral.com/articles/10.1186/s12859-019-3158-x","volume":"20","author":[{"family":"De Velasco Oriol","given":"Javier"},{"family":"Vallejo","given":"Edgar E."},{"family":"Estrada","given":"Karol"},{"family":"Taméz Peña","given":"José Gerardo"},{"family":"Disease Neuroimaging Initiative","given":"The Alzheimer’s"}],"accessed":{"date-parts":[["2025",8,22]]},"issued":{"date-parts":[["2019",12]]}}}],"schema":"https://github.com/citation-style-language/schema/raw/master/csl-citation.json"} </w:instrText>
      </w:r>
      <w:r>
        <w:fldChar w:fldCharType="separate"/>
      </w:r>
      <w:r w:rsidRPr="007B4A2B">
        <w:rPr>
          <w:rFonts w:cs="Times New Roman"/>
        </w:rPr>
        <w:t>[1]</w:t>
      </w:r>
      <w:r>
        <w:fldChar w:fldCharType="end"/>
      </w:r>
      <w:r>
        <w:t xml:space="preserve">. </w:t>
      </w:r>
      <w:r w:rsidRPr="007B4A2B">
        <w:t xml:space="preserve">Recent algorithms demonstrate practical clinical utility with 80% sensitivity in correctly detecting Alzheimer's patients, allowing assessment of genetic risk in the general population without requiring any symptom manifestation </w:t>
      </w:r>
      <w:r>
        <w:fldChar w:fldCharType="begin"/>
      </w:r>
      <w:r>
        <w:instrText xml:space="preserve"> ADDIN ZOTERO_ITEM CSL_CITATION {"citationID":"dThX9AlP","properties":{"formattedCitation":"[8]","plainCitation":"[8]","noteIndex":0},"citationItems":[{"id":895,"uris":["http://zotero.org/users/14116543/items/9L9KWIMF"],"itemData":{"id":895,"type":"article-journal","abstract":"Alzheimer’s disease (AD) is a progressive neurodegenerative disorder. It can cause a massive impact on a patient's memory and mobility. As this disease is irreversible, early diagnosis is crucial for delaying the symptoms and adjusting the patient's lifestyle. Many machine learning (ML) and deep learning (DL) based approaches have been proposed to accurately predict AD before the onset of its symptoms. However, finding the most effective approach for AD early prediction is still challenging.  This review explored 24 papers published from 2018 until 2021.  These papers have proposed different approaches using state of the art machine learning and deep learning algorithms on different biomarkers to early detect AD.  The review explored them from different perspectives to derive potential research gaps and draw conclusions and recommendations.  It classified these recent approaches in terms of the learning technique used and AD biomarkers. It summarized and compared their findings, and defined their strengths and limitations.  It also provided a summary of the common AD biomarkers.  From this review, it was found that some approaches strove to increase the prediction accuracy regardless of their complexity such as using heterogeneous datasets, while others sought to find the most practical and affordable ways to predict the disease and yet achieve good accuracy such as using audio data. It was also noticed that DL based-approaches with image biomarkers remarkably surpassed ML based-approaches. However, they achieved poorly with genetic variants data. Despite the great importance of genetic variants biomarkers, their large variance and complexity could lead to a complex approach or poor accuracy. These data are crucial to discover the underlying structure of AD and detect it at early stages.  However, an effective pre-processing approach is still needed to refine these data and employ them efficiently using the powerful DL algorithms.","container-title":"International Journal of Software Engineering and Computer Systems","DOI":"10.15282/ijsecs.7.2.2021.4.0087","ISSN":"22898522, 21800650","issue":"2","journalAbbreviation":"IJSECS","page":"26-43","source":"DOI.org (Crossref)","title":"Machine learning and deep learning-based approaches on various biomarkers for Alzheimer’s disease early detection: A review","title-short":"Machine learning and deep learning-based approaches on various biomarkers for Alzheimer’s disease early detection","URL":"https://journal.ump.edu.my/ijsecs/article/view/6795/1573","volume":"7","author":[{"literal":"Computer and Information Technology Faculty, Sana’a University, Yemen"},{"family":"M. Fadhl Alqubati","given":"Ghada"},{"family":"H. Algaphari","given":"Ghaleb"},{"literal":"Computer and Information Technology Faculty, Sana’a University, Yemen"}],"accessed":{"date-parts":[["2025",8,22]]},"issued":{"date-parts":[["2021",8,30]]}}}],"schema":"https://github.com/citation-style-language/schema/raw/master/csl-citation.json"} </w:instrText>
      </w:r>
      <w:r>
        <w:fldChar w:fldCharType="separate"/>
      </w:r>
      <w:r w:rsidRPr="007B4A2B">
        <w:rPr>
          <w:rFonts w:cs="Times New Roman"/>
        </w:rPr>
        <w:t>[8]</w:t>
      </w:r>
      <w:r>
        <w:fldChar w:fldCharType="end"/>
      </w:r>
      <w:r>
        <w:t xml:space="preserve">. </w:t>
      </w:r>
      <w:r w:rsidRPr="007B4A2B">
        <w:t xml:space="preserve">Advanced AI models can predict Alzheimer's disease up to 75.8 months before final diagnosis using neuroimaging, achieving 82% specificity at 100% sensitivity </w:t>
      </w:r>
      <w:r>
        <w:fldChar w:fldCharType="begin"/>
      </w:r>
      <w:r>
        <w:instrText xml:space="preserve"> ADDIN ZOTERO_ITEM CSL_CITATION {"citationID":"xOdqkG4A","properties":{"formattedCitation":"[11], [12]","plainCitation":"[11], [12]","noteIndex":0},"citationItems":[{"id":901,"uris":["http://zotero.org/users/14116543/items/AWFQXC7K"],"itemData":{"id":901,"type":"article-journal","abstract":"Biomarker-based predictive tests for subjectively asymptomatic Alzheimer’s disease (AD) are utilized in research today. Novel applications of artificial intelligence (AI) promise to predict the onset of AD several years in advance without determining biomarker thresholds. Until now, little attention has been paid to the new ethical challenges that AI brings to the early diagnosis in asymptomatic individuals, beyond contributing to research purposes, when we still lack adequate treatment. The aim of this paper is to explore the ethical arguments put forward for AI aided AD prediction in subjectively asymptomatic individuals and their ethical implications. The ethical assessment is based on a systematic literature search. Thematic analysis was conducted inductively of 18 included publications. The ethical framework includes the principles of autonomy, beneficence, non-maleficence, and justice. Reasons for offering predictive tests to asymptomatic individuals are the right to know, a positive balance of the risk-benefit assessment, and the opportunity for future planning. Reasons against are the lack of disease modifying treatment, the accuracy and explicability of AI aided prediction, the right not to know, and threats to social rights. We conclude that there are serious ethical concerns in offering early diagnosis to asymptomatic individuals and the issues raised by the application of AI add to the already known issues. Nevertheless, pre-symptomatic testing should only be offered on request to avoid inflicted harm. We recommend developing training for physicians in communicating AI aided prediction.","container-title":"Diagnostics","DOI":"10.3390/diagnostics11030440","ISSN":"2075-4418","issue":"3","journalAbbreviation":"Diagnostics","language":"en","license":"https://creativecommons.org/licenses/by/4.0/","page":"440","source":"DOI.org (Crossref)","title":"Ethical Implications of Alzheimer’s Disease Prediction in Asymptomatic Individuals through Artificial Intelligence","URL":"https://www.mdpi.com/2075-4418/11/3/440","volume":"11","author":[{"family":"Ursin","given":"Frank"},{"family":"Timmermann","given":"Cristian"},{"family":"Steger","given":"Florian"}],"accessed":{"date-parts":[["2025",8,22]]},"issued":{"date-parts":[["2021",3,4]]}}},{"id":903,"uris":["http://zotero.org/users/14116543/items/RKIGDJBH"],"itemData":{"id":903,"type":"article-journal","container-title":"Radiology","DOI":"10.1148/radiol.2018180958","ISSN":"0033-8419, 1527-1315","issue":"2","journalAbbreviation":"Radiology","language":"en","page":"456-464","source":"DOI.org (Crossref)","title":"A Deep Learning Model to Predict a Diagnosis of Alzheimer Disease by Using&lt;sup&gt;18&lt;/sup&gt; F-FDG PET of the Brain","URL":"http://pubs.rsna.org/doi/10.1148/radiol.2018180958","volume":"290","author":[{"family":"Ding","given":"Yiming"},{"family":"Sohn","given":"Jae Ho"},{"family":"Kawczynski","given":"Michael G."},{"family":"Trivedi","given":"Hari"},{"family":"Harnish","given":"Roy"},{"family":"Jenkins","given":"Nathaniel W."},{"family":"Lituiev","given":"Dmytro"},{"family":"Copeland","given":"Timothy P."},{"family":"Aboian","given":"Mariam S."},{"family":"Mari Aparici","given":"Carina"},{"family":"Behr","given":"Spencer C."},{"family":"Flavell","given":"Robert R."},{"family":"Huang","given":"Shih-Ying"},{"family":"Zalocusky","given":"Kelly A."},{"family":"Nardo","given":"Lorenzo"},{"family":"Seo","given":"Youngho"},{"family":"Hawkins","given":"Randall A."},{"family":"Hernandez Pampaloni","given":"Miguel"},{"family":"Hadley","given":"Dexter"},{"family":"Franc","given":"Benjamin L."}],"accessed":{"date-parts":[["2025",8,22]]},"issued":{"date-parts":[["2019",2]]}}}],"schema":"https://github.com/citation-style-language/schema/raw/master/csl-citation.json"} </w:instrText>
      </w:r>
      <w:r>
        <w:fldChar w:fldCharType="separate"/>
      </w:r>
      <w:r w:rsidRPr="007B4A2B">
        <w:rPr>
          <w:rFonts w:cs="Times New Roman"/>
        </w:rPr>
        <w:t>[11], [12]</w:t>
      </w:r>
      <w:r>
        <w:fldChar w:fldCharType="end"/>
      </w:r>
      <w:r>
        <w:t xml:space="preserve">. </w:t>
      </w:r>
      <w:r w:rsidRPr="007B4A2B">
        <w:t xml:space="preserve">Polygenic hazard scores represent another important clinical application, with validated systems that strongly predict age of Alzheimer's onset and longitudinal progression from normal aging to disease while associating with markers of neurodegeneration </w:t>
      </w:r>
      <w:r>
        <w:fldChar w:fldCharType="begin"/>
      </w:r>
      <w:r>
        <w:instrText xml:space="preserve"> ADDIN ZOTERO_ITEM CSL_CITATION {"citationID":"vBRmJXiT","properties":{"formattedCitation":"[39]","plainCitation":"[39]","noteIndex":0},"citationItems":[{"id":959,"uris":["http://zotero.org/users/14116543/items/WA28FV8R"],"itemData":{"id":959,"type":"article","abstract":"ABSTRACT\n          \n            Importance\n            \n              Identifying individuals at risk for developing Alzheimer’s disease (AD) is of utmost importance. Although genetic studies have identified\n              APOE\n              and other AD associated single nucleotide polymorphisms (SNPs), genetic information has not been integrated into an epidemiological framework for personalized risk prediction.\n            \n          \n          \n            Objective\n            To develop, replicate and validate a novel polygenic hazard score for predicting age-specific risk for AD.\n          \n          \n            Setting\n            Multi-center, multi-cohort genetic and clinical data.\n          \n          \n            Participants\n            We assessed genetic data from 17,008 AD patients and 37,154 controls from the International Genetics of Alzheimer’s Project (IGAP), and 6,409 AD patients and 9,386 older controls from Phase 1 Alzheimer’s Disease Genetics Consortium (ADGC). As independent replication and validation cohorts, we also evaluated genetic, neuroimaging, neuropathologic, CSF and clinical data from ADGC Phase 2, National Institute of Aging Alzheimer’s Disease Center (NIA ADC) and Alzheimer’s Disease Neuroimaging Initiative (ADNI) (total n = 20,680)\n          \n          \n            Main Outcome(s) and Measure(s)\n            \n              Use the IGAP cohort to first identify AD associated SNPs (at p &lt; 10\n              -5\n              ). Next, integrate these AD associated SNPs into a Cox proportional hazards model using ADGC phase 1 genetic data, providing a polygenic hazard score (PHS) for each participant. Combine population based incidence rates, and genotype-derived PHS for each individual to derive estimates of instantaneous risk for developing AD, based on genotype and age. Finally, assess replication and validation of PHS in independent cohorts.\n            \n          \n          \n            Results\n            \n              Individuals in the highest PHS quantiles developed AD at a considerably lower age and had the highest yearly AD incidence rate. Among\n              APOE\n              ε3/3 individuals, PHS modified expected age of AD onset by more than 10 years between the lowest and highest deciles. In independent cohorts, PHS strongly predicted empirical age of AD onset (p = 1.1 x 10\n              -26\n              ), longitudinal progression from normal aging to AD (p = 1.54 x 10\n              -10\n              ) and associated with markers of AD neurodegeneration.\n            \n          \n          \n            Conclusions\n            \n              We developed, replicated and validated a clinically usable PHS for quantifying individual differences in age-specific risk of AD. Beyond\n              APOE\n              , polygenic architecture plays an important role in modifying AD risk. Precise quantification of AD genetic risk will be useful for early diagnosis and therapeutic strategies.","DOI":"10.1101/074864","language":"en","license":"http://creativecommons.org/licenses/by-nd/4.0/","source":"Genetics","title":"Personalized genetic assessment of age associated Alzheimer’s disease risk","URL":"http://biorxiv.org/lookup/doi/10.1101/074864","author":[{"family":"Desikan","given":"Rahul S."},{"family":"Fan","given":"Chun Chieh"},{"family":"Wang","given":"Yunpeng"},{"family":"Schork","given":"Andrew J."},{"family":"Cabral","given":"Howard J."},{"family":"Cupples","given":"L. Adrienne"},{"family":"Thompson","given":"Wesley K."},{"family":"Besser","given":"Lilah"},{"family":"Kukull","given":"Walter A."},{"family":"Holland","given":"Dominic"},{"family":"Chen","given":"Chi-Hua"},{"family":"Brewer","given":"James B."},{"family":"Karow","given":"David S."},{"family":"Kauppi","given":"Karolina"},{"family":"Witoelar","given":"Aree"},{"family":"Karch","given":"Celeste M."},{"family":"Bonham","given":"Luke W."},{"family":"Yokoyama","given":"Jennifer S."},{"family":"Rosen","given":"Howard J."},{"family":"Miller","given":"Bruce L."},{"family":"Dillon","given":"William P."},{"family":"Wilson","given":"David M."},{"family":"Hess","given":"Christopher P."},{"family":"Pericak-Vance","given":"Margaret"},{"family":"Haines","given":"Jonathan L."},{"family":"Farrer","given":"Lindsay A."},{"family":"Mayeux","given":"Richard"},{"family":"Hardy","given":"John"},{"family":"Goate","given":"Alison M."},{"family":"Hyman","given":"Bradley T."},{"family":"Schellenberg","given":"Gerard D."},{"family":"McEvoy","given":"Linda K."},{"family":"Andreassen","given":"Ole A."},{"family":"Dale","given":"Anders M."},{"literal":"for the ADNI and ADGC investigators"}],"accessed":{"date-parts":[["2025",8,24]]},"issued":{"date-parts":[["2016",9,13]]}}}],"schema":"https://github.com/citation-style-language/schema/raw/master/csl-citation.json"} </w:instrText>
      </w:r>
      <w:r>
        <w:fldChar w:fldCharType="separate"/>
      </w:r>
      <w:r w:rsidRPr="007B4A2B">
        <w:rPr>
          <w:rFonts w:cs="Times New Roman"/>
        </w:rPr>
        <w:t>[39]</w:t>
      </w:r>
      <w:r>
        <w:fldChar w:fldCharType="end"/>
      </w:r>
      <w:r>
        <w:t>.</w:t>
      </w:r>
      <w:r w:rsidRPr="007B4A2B">
        <w:t xml:space="preserve"> These genetic risk scoring approaches can be combined with clinical information to create comprehensive risk profiles that enable tailored treatment and monitoring strategies  </w:t>
      </w:r>
      <w:r>
        <w:fldChar w:fldCharType="begin"/>
      </w:r>
      <w:r>
        <w:instrText xml:space="preserve"> ADDIN ZOTERO_ITEM CSL_CITATION {"citationID":"z1uY6Fa8","properties":{"formattedCitation":"[34], [37]","plainCitation":"[34], [37]","noteIndex":0},"citationItems":[{"id":947,"uris":["http://zotero.org/users/14116543/items/HYEXN4NJ"],"itemData":{"id":947,"type":"article-journal","abstract":"Background: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953,"uris":["http://zotero.org/users/14116543/items/7QLJATHT"],"itemData":{"id":953,"type":"article-journal","abstract":"Alzheimer’s disease (AD) is a neurological disorder that significantly impairs cognitive function, leading to memory loss and eventually death. AD progresses through three stages: early stage, mild cognitive impairment (MCI) (middle stage), and dementia. Early diagnosis of Alzheimer’s disease is crucial and can improve survival rates among patients. Traditional methods for diagnosing AD through regular checkups and manual examinations are challenging. Advances in computer-aided diagnosis systems (CADs) have led to the development of various artificial intelligence and deep learning-based methods for rapid AD detection. This survey aims to explore the different modalities, feature extraction methods, datasets, machine learning techniques, and validation methods used in AD detection. We reviewed 116 relevant papers from repositories including Elsevier (45), IEEE (25), Springer (19), Wiley (6), PLOS One (5), MDPI (3), World Scientific (3), Frontiers (3), PeerJ (2), Hindawi (2), IO Press (1), and other multiple sources (2). The review is presented in tables for ease of reference, allowing readers to quickly grasp the key findings of each study. Additionally, this review addresses the challenges in the current literature and emphasizes the importance of interpretability and explainability in understanding deep learning model predictions. The primary goal is to assess existing techniques for AD identification and highlight obstacles to guide future research.","container-title":"Diagnostics","DOI":"10.3390/diagnostics14121281","ISSN":"2075-4418","issue":"12","journalAbbreviation":"Diagnostics","language":"en","license":"https://creativecommons.org/licenses/by/4.0/","page":"1281","source":"DOI.org (Crossref)","title":"Deep Learning for Alzheimer’s Disease Prediction: A Comprehensive Review","title-short":"Deep Learning for Alzheimer’s Disease Prediction","URL":"https://www.mdpi.com/2075-4418/14/12/1281","volume":"14","author":[{"family":"Malik","given":"Isra"},{"family":"Iqbal","given":"Ahmed"},{"family":"Gu","given":"Yeong Hyeon"},{"family":"Al-antari","given":"Mugahed A."}],"accessed":{"date-parts":[["2025",8,24]]},"issued":{"date-parts":[["2024",6,17]]}}}],"schema":"https://github.com/citation-style-language/schema/raw/master/csl-citation.json"} </w:instrText>
      </w:r>
      <w:r>
        <w:fldChar w:fldCharType="separate"/>
      </w:r>
      <w:r w:rsidRPr="007B4A2B">
        <w:rPr>
          <w:rFonts w:cs="Times New Roman"/>
        </w:rPr>
        <w:t>[34], [37]</w:t>
      </w:r>
      <w:r>
        <w:fldChar w:fldCharType="end"/>
      </w:r>
      <w:r>
        <w:t xml:space="preserve">. </w:t>
      </w:r>
      <w:r w:rsidRPr="007B4A2B">
        <w:t xml:space="preserve">Future directions emphasize the development of more sophisticated and integrated AI systems. Research is moving toward combining multiple explainable AI techniques for better interpretability, integrating multimodal data including imaging, genetics, and clinical features for comprehensive diagnosis, and developing interactive AI interfaces that allow doctors to query and adjust AI-driven predictions  </w:t>
      </w:r>
      <w:r>
        <w:fldChar w:fldCharType="begin"/>
      </w:r>
      <w:r>
        <w:instrText xml:space="preserve"> ADDIN ZOTERO_ITEM CSL_CITATION {"citationID":"OgtR7MX6","properties":{"formattedCitation":"[38]","plainCitation":"[38]","noteIndex":0},"citationItems":[{"id":957,"uris":["http://zotero.org/users/14116543/items/P3D4CINU"],"itemData":{"id":957,"type":"article-journal","abstract":"Introduction\n              Alzheimer’s disease is a progressive neurodegenerative disorder challenging early diagnosis and treatment. Recent advancements in deep learning algorithms applied to multimodal brain imaging offer promising solutions for improving diagnostic accuracy and predicting disease progression.\n            \n            \n              Method\n              \n                This narrative review synthesizes current literature on deep learning applications in Alzheimer’s disease diagnosis using multimodal neuroimaging. The review process involved a comprehensive search of relevant databases (PubMed, Embase, Google Scholar and\n                ClinicalTrials.gov\n                ), selection of pertinent studies, and critical analysis of findings. We employed a best-evidence approach, prioritizing high-quality studies and identifying consistent patterns across the literature.\n              \n            \n            \n              Results\n              Deep learning architectures, including convolutional neural networks, recurrent neural networks, and transformer-based models, have shown remarkable potential in analyzing multimodal neuroimaging data. These models can effectively process structural and functional imaging modalities, extracting relevant features and patterns associated with Alzheimer’s pathology. Integration of multiple imaging modalities has demonstrated improved diagnostic accuracy compared to single-modality approaches. Deep learning models have also shown promise in predictive modeling, identifying potential biomarkers and forecasting disease progression.\n            \n            \n              Discussion\n              While deep learning approaches show great potential, several challenges remain. Data heterogeneity, small sample sizes, and limited generalizability across diverse populations are significant hurdles. The clinical translation of these models requires careful consideration of interpretability, transparency, and ethical implications. The future of AI in neurodiagnostics for Alzheimer’s disease looks promising, with potential applications in personalized treatment strategies.","container-title":"Frontiers in Neuroinformatics","DOI":"10.3389/fninf.2025.1557177","ISSN":"1662-5196","journalAbbreviation":"Front. Neuroinform.","page":"1557177","source":"DOI.org (Crossref)","title":"Advancements in deep learning for early diagnosis of Alzheimer’s disease using multimodal neuroimaging: challenges and future directions","title-short":"Advancements in deep learning for early diagnosis of Alzheimer’s disease using multimodal neuroimaging","URL":"https://www.frontiersin.org/articles/10.3389/fninf.2025.1557177/full","volume":"19","author":[{"family":"Raza","given":"Muhammad Liaquat"},{"family":"Hassan","given":"Syed Tawassul"},{"family":"Jamil","given":"Subia"},{"family":"Hyder","given":"Noorulain"},{"family":"Batool","given":"Kinza"},{"family":"Walji","given":"Sajidah"},{"family":"Abbas","given":"Muhammad Khizar"}],"accessed":{"date-parts":[["2025",8,24]]},"issued":{"date-parts":[["2025",5,2]]}}}],"schema":"https://github.com/citation-style-language/schema/raw/master/csl-citation.json"} </w:instrText>
      </w:r>
      <w:r>
        <w:fldChar w:fldCharType="separate"/>
      </w:r>
      <w:r w:rsidRPr="007B4A2B">
        <w:rPr>
          <w:rFonts w:cs="Times New Roman"/>
        </w:rPr>
        <w:t>[38]</w:t>
      </w:r>
      <w:r>
        <w:fldChar w:fldCharType="end"/>
      </w:r>
      <w:r>
        <w:t xml:space="preserve">. </w:t>
      </w:r>
      <w:r w:rsidRPr="007B4A2B">
        <w:t xml:space="preserve">AI systems are being designed to analyze huge quantities of data from numerous sources including medical images, genetic information, clinical records, and even wearable technology data tracking heart rate, sleep patterns, and physical activity  </w:t>
      </w:r>
      <w:r>
        <w:fldChar w:fldCharType="begin"/>
      </w:r>
      <w:r>
        <w:instrText xml:space="preserve"> ADDIN ZOTERO_ITEM CSL_CITATION {"citationID":"sfoHGI1L","properties":{"formattedCitation":"[31], [34], [36]","plainCitation":"[31], [34], [36]","noteIndex":0},"citationItems":[{"id":941,"uris":["http://zotero.org/users/14116543/items/4VWXP8S2"],"itemData":{"id":941,"type":"article-journal","abstract":"Recent advances in artificial intelligence (AI) have shown great promise in the diagnosis, prediction, treatment plans, and monitoring the progression of neurodegenerative disorders. AI algorithms can analyze large amounts of data from various sources, including medical images, quantifiable proteins in urine, blood, and cerebrospinal fluid (CSF), genetic information, clinical records, Electroencephalography (EEG) signals, driving behaviors, etc. Alzheimer's disease as one of the most common neurodegenerative disorders. This study specifically explores the possible application of AI in the diagnosis, prediction, monitoring of disease progression, classifying, finding new biomarkers and drugs, and personalizing treatment plans of AD.","container-title":"Galen Medical Journal","DOI":"10.31661/gmj.v12i.3061","ISSN":"2322-2379, 2588-2767","journalAbbreviation":"GMJ","license":"https://creativecommons.org/licenses/by/4.0","source":"DOI.org (Crossref)","title":"The Use of Artificial Intelligence in the Management of Neurodegenerative Disorders; Focus on Alzheimer's Disease:","title-short":"The Use of Artificial Intelligence in the Management of Neurodegenerative Disorders; Focus on Alzheimer's Disease","URL":"https://journals.salviapub.com/index.php/gmj/article/view/3061","volume":"12","author":[{"family":"Khastehband","given":"Solmaz"},{"family":"Ghasempour Dabbaghi","given":"Khazar"},{"family":"Khosravirad","given":"Zahra"},{"family":"Jamalnia","given":"Sheida"},{"family":"GhorbaniNia","given":"Rahil"},{"family":"Mahmoudikohani","given":"Fatemeh"},{"family":"Zakeri","given":"Habib"}],"accessed":{"date-parts":[["2025",8,24]]},"issued":{"date-parts":[["2023",9,3]]}}},{"id":947,"uris":["http://zotero.org/users/14116543/items/HYEXN4NJ"],"itemData":{"id":947,"type":"article-journal","abstract":"Background: Alzheimer’s disease (AD) affects a significant portion of the aging population, presenting a serious challenge due to the limited availability of effective therapies during its progression. The disease advances rapidly, underscoring the need for early diagnosis and the application of preventative measures. Current diagnostic methods for AD are often expensive and invasive, restricting access for the general public. One potential solution is the use of biomarkers, which can facilitate early detection and treatment through objective, non-invasive, and cost-effective evaluations of AD. This review critically investigates the function and role of biofluid biomarkers in detecting AD, with a specific focus on cerebrospinal fluid (CSF), blood-based, and saliva biomarkers. Results: CSF biomarkers have demonstrated potential for accurate diagnosis and valuable prognostic insights, while blood biomarkers offer a minimally invasive and cost-effective approach for diagnosing cognitive issues. However, while current biomarkers for AD show significant potential, none have yet achieved the precision needed to replace expensive PET scans and CSF assays. The lack of a single accurate biomarker underscores the need for further research to identify novel or combined biomarkers to enhance the clinical efficacy of existing diagnostic tests. In this context, artificial intelligence (AI) and deep-learning (DL) tools present promising avenues for improving biomarker analysis and interpretation, enabling more precise and timely diagnoses. Conclusions: Further research is essential to confirm the utility of all AD biomarkers in clinical settings. Combining biomarker data with AI tools offers a promising path toward revolutionizing the personalized characterization and early diagnosis of AD symptoms.","container-title":"Cells","DOI":"10.3390/cells13221901","ISSN":"2073-4409","issue":"22","journalAbbreviation":"Cells","language":"en","license":"https://creativecommons.org/licenses/by/4.0/","page":"1901","source":"DOI.org (Crossref)","title":"Navigating the Alzheimer’s Biomarker Landscape: A Comprehensive Analysis of Fluid-Based Diagnostics","title-short":"Navigating the Alzheimer’s Biomarker Landscape","URL":"https://www.mdpi.com/2073-4409/13/22/1901","volume":"13","author":[{"family":"El Abiad","given":"Elsa"},{"family":"Al-Kuwari","given":"Ali"},{"family":"Al-Aani","given":"Ubaida"},{"family":"Al Jaidah","given":"Yaqoub"},{"family":"Chaari","given":"Ali"}],"accessed":{"date-parts":[["2025",8,24]]},"issued":{"date-parts":[["2024",11,18]]}}},{"id":951,"uris":["http://zotero.org/users/14116543/items/WIBDKLRF"],"itemData":{"id":951,"type":"article-journal","abstract":"This study was performed to investigate the usefulness of functional near-infrared spectroscopy (fNIRS) by conducting a comparative analysis of hemodynamic activation detected by fNIRS and positron emission tomography (PET) and magnetic resonance imaging (MRI) in patients with mild cognitive impairment (MCI) and Alzheimer’s disease (AD). Participants were divided into four groups: the subjective memory impairment (SMI), amnestic MCI (aMCI), non-amnestic MCI (naMCI), and AD groups. We recorded the hemodynamic response during the semantic verbal fluency task (SVFT) using a commercial wireless continuous-wave NIRS system. The correlation between the parameters of the neuroimaging assessments among the groups was analyzed. Region of interest-based comparisons showed that the four groups had significantly different hemodynamic responses during SVFT in the bilateral dorsolateral prefrontal cortex (DLPFC). The linear mixed effect model result indicates that the mean\n              ΔHbO\n              \n                2\n              \n              from the bilateral DLPFC regions showed a significant positive correlation to the overall FDG-PET after controlling for age and group differences in the fNIRS signals. Amyloid PET signals tended to better differentiate the AD group from other groups, and fNIRS signals tended to better differentiate the SMI group from other groups. In addition, a comparison between the group pairs revealed a mirrored pattern between the hippocampal volume and hemodynamic response in the DLPFC. The hemodynamic response detected by fNIRS showed a significant correlation with metabolic and anatomical changes associated with disease progression. Therefore, fNIRS may be considered as a screening tool to predict the hemodynamic and metabolic statuses of the brain in patients with MCI and AD.","container-title":"PLOS ONE","DOI":"10.1371/journal.pone.0285013","ISSN":"1932-6203","issue":"8","journalAbbreviation":"PLoS ONE","language":"en","page":"e0285013","source":"DOI.org (Crossref)","title":"Correlation between cerebral hemodynamic functional near-infrared spectroscopy and positron emission tomography for assessing mild cognitive impairment and Alzheimer’s disease: An exploratory study","title-short":"Correlation between cerebral hemodynamic functional near-infrared spectroscopy and positron emission tomography for assessing mild cognitive impairment and Alzheimer’s disease","URL":"https://dx.plos.org/10.1371/journal.pone.0285013","volume":"18","author":[{"family":"Yoon","given":"Jin A."},{"family":"Kong","given":"In Joo"},{"family":"Choi","given":"Ingyu"},{"family":"Cha","given":"Jihyun"},{"family":"Baek","given":"Ji Yeong"},{"family":"Choi","given":"JongKwan"},{"family":"Shin","given":"Yong Beom"},{"family":"Shin","given":"Myung Jun"},{"family":"Lee","given":"Young-Min"}],"editor":[{"family":"Ginsberg","given":"Stephen D."}],"accessed":{"date-parts":[["2025",8,24]]},"issued":{"date-parts":[["2023",8,10]]}}}],"schema":"https://github.com/citation-style-language/schema/raw/master/csl-citation.json"} </w:instrText>
      </w:r>
      <w:r>
        <w:fldChar w:fldCharType="separate"/>
      </w:r>
      <w:r w:rsidRPr="007B4A2B">
        <w:rPr>
          <w:rFonts w:cs="Times New Roman"/>
        </w:rPr>
        <w:t>[31], [34], [36]</w:t>
      </w:r>
      <w:r>
        <w:fldChar w:fldCharType="end"/>
      </w:r>
      <w:r>
        <w:t xml:space="preserve">. </w:t>
      </w:r>
      <w:r w:rsidRPr="007B4A2B">
        <w:t xml:space="preserve">The field is also advancing toward precision medicine applications, with AI having the capacity to process massive amounts of genome data to recognize relevant pathways and increase the probability of finding the best targets for therapy </w:t>
      </w:r>
      <w:r>
        <w:fldChar w:fldCharType="begin"/>
      </w:r>
      <w:r>
        <w:instrText xml:space="preserve"> ADDIN ZOTERO_ITEM CSL_CITATION {"citationID":"o0rkPzEy","properties":{"formattedCitation":"[23]","plainCitation":"[23]","noteIndex":0},"citationItems":[{"id":47,"uris":["http://zotero.org/users/14116543/items/LHQWUDFQ"],"itemData":{"id":47,"type":"article-journal","abstract":"Background\n The only conclusive way to diagnose Alzheimer’s is to carry out brain autopsy of the patient’s brain tissue and ascertain whether the subject had Alzheimer’s or any other form of dementia. However, due to the non-feasibility of such methods, to diagnose and conclude the conditions, medical practitioners use tests that examine a patient’s mental ability.\n\nObjective\n Accurate diagnosis at an early stage is the need of the hour for initiation of therapy. The cause for most Alzheimer’s cases still remains unknown except where genetic distinctions have been observed. Thus, a standard drug regimen ensues in every Alzheimer’s patient, irrespective of the cause, which may not always be beneficial in halting or reversing the disease progression. To provide a better life to such patients by suppressing existing symptoms, early diagnosis, curative therapy, site-specific delivery of drugs, and application of hyphenated methods like artificial intelligence need to be brought into the main field of Alzheimer’s therapeutics.\n\nMethods\n In this review, we have compiled existing hypotheses to explain the cause of the disease, and highlighted gene therapy, immunotherapy, peptidomimetics, metal chelators, probiotics and quantum dots as advancements in the existing strategies to manage Alzheimer’s.\n\nConclusion\n Biomarkers, brain-imaging, and theranostics, along with artificial intelligence, are understood to be the future of the management of Alzheimer’s.","container-title":"Current Neuropharmacology","DOI":"10.2174/1570159X18666200528142429","ISSN":"1570-159X","issue":"11","journalAbbreviation":"Curr Neuropharmacol","note":"PMID: 32484110\nPMCID: PMC7709159","page":"1106-1125","source":"PubMed Central","title":"Recent Advancements in Pathogenesis, Diagnostics and Treatment of Alzheimer’s Disease","URL":"https://www.ncbi.nlm.nih.gov/pmc/articles/PMC7709159/","volume":"18","author":[{"family":"Khan","given":"Sahil"},{"family":"Barve","given":"Kalyani H."},{"family":"Kumar","given":"Maushmi S."}],"accessed":{"date-parts":[["2024",4,26]]},"issued":{"date-parts":[["2020",11]]}}}],"schema":"https://github.com/citation-style-language/schema/raw/master/csl-citation.json"} </w:instrText>
      </w:r>
      <w:r>
        <w:fldChar w:fldCharType="separate"/>
      </w:r>
      <w:r w:rsidRPr="007B4A2B">
        <w:rPr>
          <w:rFonts w:cs="Times New Roman"/>
        </w:rPr>
        <w:t>[23]</w:t>
      </w:r>
      <w:r>
        <w:fldChar w:fldCharType="end"/>
      </w:r>
      <w:r>
        <w:t xml:space="preserve">. </w:t>
      </w:r>
      <w:r w:rsidRPr="007B4A2B">
        <w:t xml:space="preserve">Future AI-powered genomic analysis incorporating deep learning models and polygenic risk scores will enhance identification of genetic variants linked to Alzheimer's, allowing for more accurate risk assessments and personalized therapeutic strategies </w:t>
      </w:r>
      <w:r>
        <w:fldChar w:fldCharType="begin"/>
      </w:r>
      <w:r>
        <w:instrText xml:space="preserve"> ADDIN ZOTERO_ITEM CSL_CITATION {"citationID":"NgSfr65X","properties":{"formattedCitation":"[40]","plainCitation":"[40]","noteIndex":0},"citationItems":[{"id":961,"uris":["http://zotero.org/users/14116543/items/62JQZNC8"],"itemData":{"id":961,"type":"article-journal","abstract":"Alzheimer’s disease (AD) is a growing global challenge, representing the most common neurodegenerative disorder and affecting millions of lives. As life expectancy continues to rise and populations expand, the number of individuals coping with the cognitive declines caused by AD is projected to double in the coming years. By 2050, we may see over 115 million people diagnosed with this devastating condition. Unfortunately, while we currently lack effective cures, there are preventative measures that can slow disease progression in symptomatic patients. Thus, research has shifted toward early detection and intervention for AD in recent years. With technological advances, we are now harnessing large datasets and more efficient, minimally invasive methods for diagnosis and treatment. This review highlights critical demographic insights, health conditions that increase the risk of developing AD, and lifestyle factors in midlife that can potentially trigger its onset. Additionally, we delve into the promising role of plant-based metabolites and their sources, which may help delay the disease’s progression. The innovative multi-omics research is transforming our understanding of AD. This approach enables comprehensive data analysis from diverse cell types and biological processes, offering possible biomarkers of this disease’s mechanisms. We present the latest advancements in genomics, transcriptomics, Epigenomics, proteomics, and metabolomics, including significant progress in gene editing technologies. When combined with machine learning and artificial intelligence, multi-omics analysis becomes a powerful tool for uncovering the complexities of AD pathogenesis. We also explore current trends in the application of radiomics and machine learning, emphasizing how integrating multi-omics data can transform our approach to AD research and treatment. Together, these pioneering advancements promise to develop more effective preventive and therapeutic strategies soon.","container-title":"Frontiers in Aging Neuroscience","DOI":"10.3389/fnagi.2025.1591796","ISSN":"1663-4365","journalAbbreviation":"Front. Aging Neurosci.","page":"1591796","source":"DOI.org (Crossref)","title":"Advancements in multi-omics research to address challenges in Alzheimer’s disease: a systems biology approach utilizing molecular biomarkers and innovative strategies","title-short":"Advancements in multi-omics research to address challenges in Alzheimer’s disease","URL":"https://www.frontiersin.org/articles/10.3389/fnagi.2025.1591796/full","volume":"17","author":[{"family":"Cardillo","given":"Madison"},{"family":"Katam","given":"Keyura"},{"family":"Suravajhala","given":"Prashanth"}],"accessed":{"date-parts":[["2025",8,24]]},"issued":{"date-parts":[["2025",7,23]]}}}],"schema":"https://github.com/citation-style-language/schema/raw/master/csl-citation.json"} </w:instrText>
      </w:r>
      <w:r>
        <w:fldChar w:fldCharType="separate"/>
      </w:r>
      <w:r w:rsidRPr="007B4A2B">
        <w:rPr>
          <w:rFonts w:cs="Times New Roman"/>
        </w:rPr>
        <w:t>[40]</w:t>
      </w:r>
      <w:r>
        <w:fldChar w:fldCharType="end"/>
      </w:r>
      <w:r>
        <w:t xml:space="preserve">. </w:t>
      </w:r>
      <w:r w:rsidRPr="007B4A2B">
        <w:t xml:space="preserve">These developments demonstrate the feasibility of using AI methods to identify potentially </w:t>
      </w:r>
      <w:proofErr w:type="spellStart"/>
      <w:r w:rsidRPr="007B4A2B">
        <w:t>prediagnostic</w:t>
      </w:r>
      <w:proofErr w:type="spellEnd"/>
      <w:r w:rsidRPr="007B4A2B">
        <w:t xml:space="preserve"> populations at high risk for developing sporadic Alzheimer's disease </w:t>
      </w:r>
      <w:r w:rsidR="009B6144">
        <w:fldChar w:fldCharType="begin"/>
      </w:r>
      <w:r w:rsidR="009B6144">
        <w:instrText xml:space="preserve"> ADDIN ZOTERO_ITEM CSL_CITATION {"citationID":"hicplAKv","properties":{"formattedCitation":"[41]","plainCitation":"[41]","noteIndex":0},"citationItems":[{"id":962,"uris":["http://zotero.org/users/14116543/items/ZB3EQ6FH"],"itemData":{"id":962,"type":"article","abstract":"ABSTRACT\n          Identifying prediagnostic neurodegenerative disease is a critical issue in neurodegenerative disease research, and Alzheimer’s disease (AD) in particular, to identify populations suitable for preventive and early disease modifying trials. Evidence from genetic studies suggest the neurodegeneration of Alzheimer’s disease measured by brain atrophy starts many years before diagnosis, but it is unclear whether these changes can be detected in sporadic disease. To address this challenge we train a Bayesian machine learning neural network model to generate a neuroimaging phenotype and AD-score representing the probability of AD using structural MRI data in the Alzheimer’s Disease Neuroimaging Cohort (cut-off 0.5, AUC 0.92, PPV 0.90, NPV 0.93). We go on to validate the model in an independent real world dataset of the National Alzheimer’s Coordinating Centre (AUC 0.74, PPV 0.65, NPV 0.80), and demonstrate correlation of the AD-score with cognitive scores in those with an AD-score above 0.5. We then apply the model to a healthy population in the UK Biobank study to identify a cohort at risk for Alzheimer’s disease. This cohort have a cognitive profile in keeping with Alzheimer’s disease, with strong evidence for poorer fluid intelligence, and with some evidence of poorer performance on tests of numeric memory, reaction time, working memory and prospective memory. We found some evidence in the AD-score positive cohort for modifiable risk factors of hypertension and smoking. This approach demonstrates the feasibility of using AI methods to identify a potentially prediagnostic population at high risk for developing sporadic Alzheimer’s disease.","DOI":"10.1101/2022.01.05.22268795","language":"en","source":"Neurology","title":"Identifying healthy individuals with Alzheimer neuroimaging phenotypes in the UK Biobank","URL":"http://medrxiv.org/lookup/doi/10.1101/2022.01.05.22268795","author":[{"family":"Azevedo","given":"Tiago"},{"family":"Bethlehem","given":"Richard A.I."},{"family":"Whiteside","given":"David J."},{"family":"Swaddiwudhipong","given":"Nol"},{"family":"Rowe","given":"James B."},{"family":"Lió","given":"Pietro"},{"family":"Rittman","given":"Timothy"}],"accessed":{"date-parts":[["2025",8,24]]},"issued":{"date-parts":[["2022",1,10]]}}}],"schema":"https://github.com/citation-style-language/schema/raw/master/csl-citation.json"} </w:instrText>
      </w:r>
      <w:r w:rsidR="009B6144">
        <w:fldChar w:fldCharType="separate"/>
      </w:r>
      <w:r w:rsidR="009B6144" w:rsidRPr="009B6144">
        <w:rPr>
          <w:rFonts w:cs="Times New Roman"/>
        </w:rPr>
        <w:t>[41]</w:t>
      </w:r>
      <w:r w:rsidR="009B6144">
        <w:fldChar w:fldCharType="end"/>
      </w:r>
      <w:r w:rsidR="009B6144">
        <w:t>,</w:t>
      </w:r>
      <w:r w:rsidR="009B6144" w:rsidRPr="009B6144">
        <w:t xml:space="preserve"> ultimately improving our ability to interrogate genetics data for precision dementia medicine </w:t>
      </w:r>
      <w:r w:rsidR="009B6144">
        <w:fldChar w:fldCharType="begin"/>
      </w:r>
      <w:r w:rsidR="009B6144">
        <w:instrText xml:space="preserve"> ADDIN ZOTERO_ITEM CSL_CITATION {"citationID":"0Cn1gAmr","properties":{"formattedCitation":"[42]","plainCitation":"[42]","noteIndex":0},"citationItems":[{"id":964,"uris":["http://zotero.org/users/14116543/items/VVAENH6A"],"itemData":{"id":964,"type":"article-journal","abstract":"Abstract\n            \n              \n              Genetics and omics studies of Alzheimer's disease and other dementia subtypes enhance our understanding of underlying mechanisms and pathways that can be targeted. We identified key remaining challenges: First, can we enhance genetic studies to address missing heritability? Can we identify reproducible omics signatures that differentiate between dementia subtypes? Can high‐dimensional omics data identify improved biomarkers? How can genetics inform our understanding of causal status of dementia risk factors? And which biological processes are altered by dementia‐related genetic variation? Artificial intelligence (AI) and machine learning approaches give us powerful new tools in helping us to tackle these challenges, and we review possible solutions and examples of best practice. However, their limitations also need to be considered, as well as the need for coordinated multidisciplinary research and diverse deeply phenotyped cohorts. Ultimately AI approaches improve our ability to interrogate genetics and omics data for precision dementia medicine.\n            \n            \n              Highlights\n              \n                \n                  \n                    We have identified five key challenges in dementia genetics and omics studies.\n                  \n                  \n                    AI can enable detection of undiscovered patterns in dementia genetics and omics data.\n                  \n                  \n                    Enhanced and more diverse genetics and omics datasets are still needed.\n                  \n                  \n                    Multidisciplinary collaborative efforts using AI can boost dementia research.","container-title":"Alzheimer's &amp; Dementia","DOI":"10.1002/alz.13427","ISSN":"1552-5260, 1552-5279","issue":"12","journalAbbreviation":"Alzheimer's &amp;amp; Dementia","language":"en","page":"5905-5921","source":"DOI.org (Crossref)","title":"Artificial intelligence for dementia genetics and omics","URL":"https://alz-journals.onlinelibrary.wiley.com/doi/10.1002/alz.13427","volume":"19","author":[{"family":"Bettencourt","given":"Conceicao"},{"family":"Skene","given":"Nathan"},{"family":"Bandres‐Ciga","given":"Sara"},{"family":"Anderson","given":"Emma"},{"family":"Winchester","given":"Laura M."},{"family":"Foote","given":"Isabelle F."},{"family":"Schwartzentruber","given":"Jeremy"},{"family":"Botia","given":"Juan A."},{"family":"Nalls","given":"Mike"},{"family":"Singleton","given":"Andrew"},{"family":"Schilder","given":"Brian M."},{"family":"Humphrey","given":"Jack"},{"family":"Marzi","given":"Sarah J."},{"family":"Toomey","given":"Christina E."},{"family":"Kleifat","given":"Ahmad Al"},{"family":"Harshfield","given":"Eric L."},{"family":"Garfield","given":"Victoria"},{"family":"Sandor","given":"Cynthia"},{"family":"Keat","given":"Samuel"},{"family":"Tamburin","given":"Stefano"},{"family":"Frigerio","given":"Carlo Sala"},{"family":"Lourida","given":"Ilianna"},{"literal":"the Deep Dementia Phenotyping (DEMON) Network"},{"family":"Ranson","given":"Janice M."},{"family":"Llewellyn","given":"David J."}],"accessed":{"date-parts":[["2025",8,24]]},"issued":{"date-parts":[["2023",12]]}}}],"schema":"https://github.com/citation-style-language/schema/raw/master/csl-citation.json"} </w:instrText>
      </w:r>
      <w:r w:rsidR="009B6144">
        <w:fldChar w:fldCharType="separate"/>
      </w:r>
      <w:r w:rsidR="009B6144" w:rsidRPr="009B6144">
        <w:rPr>
          <w:rFonts w:cs="Times New Roman"/>
        </w:rPr>
        <w:t>[42]</w:t>
      </w:r>
      <w:r w:rsidR="009B6144">
        <w:fldChar w:fldCharType="end"/>
      </w:r>
      <w:r w:rsidR="009B6144">
        <w:t>.</w:t>
      </w:r>
      <w:r w:rsidR="008E713D">
        <w:br w:type="page"/>
      </w:r>
    </w:p>
    <w:p w14:paraId="28EBE39A" w14:textId="7F11227F" w:rsidR="0089336D" w:rsidRDefault="0089336D" w:rsidP="0089336D">
      <w:pPr>
        <w:pStyle w:val="Heading1"/>
      </w:pPr>
      <w:r>
        <w:lastRenderedPageBreak/>
        <w:t>References</w:t>
      </w:r>
    </w:p>
    <w:p w14:paraId="6875D8DC" w14:textId="77777777" w:rsidR="009B6144" w:rsidRPr="009B6144" w:rsidRDefault="0089336D" w:rsidP="009B6144">
      <w:pPr>
        <w:pStyle w:val="Bibliography"/>
        <w:rPr>
          <w:rFonts w:cs="Times New Roman"/>
        </w:rPr>
      </w:pPr>
      <w:r>
        <w:fldChar w:fldCharType="begin"/>
      </w:r>
      <w:r w:rsidR="003F0C24">
        <w:instrText xml:space="preserve"> ADDIN ZOTERO_BIBL {"uncited":[],"omitted":[],"custom":[]} CSL_BIBLIOGRAPHY </w:instrText>
      </w:r>
      <w:r>
        <w:fldChar w:fldCharType="separate"/>
      </w:r>
      <w:r w:rsidR="009B6144" w:rsidRPr="009B6144">
        <w:rPr>
          <w:rFonts w:cs="Times New Roman"/>
        </w:rPr>
        <w:t>[1]</w:t>
      </w:r>
      <w:r w:rsidR="009B6144" w:rsidRPr="009B6144">
        <w:rPr>
          <w:rFonts w:cs="Times New Roman"/>
        </w:rPr>
        <w:tab/>
        <w:t xml:space="preserve">J. De Velasco Oriol, E. E. Vallejo, K. Estrada, J. G. Taméz Peña, and T. A. Disease Neuroimaging Initiative, “Benchmarking machine learning models for late-onset alzheimer’s disease prediction from genomic data,” </w:t>
      </w:r>
      <w:r w:rsidR="009B6144" w:rsidRPr="009B6144">
        <w:rPr>
          <w:rFonts w:cs="Times New Roman"/>
          <w:i/>
          <w:iCs/>
        </w:rPr>
        <w:t>BMC Bioinformatics</w:t>
      </w:r>
      <w:r w:rsidR="009B6144" w:rsidRPr="009B6144">
        <w:rPr>
          <w:rFonts w:cs="Times New Roman"/>
        </w:rPr>
        <w:t>, vol. 20, no. 1, p. 709, Dec. 2019, doi: 10.1186/s12859-019-3158-x.</w:t>
      </w:r>
    </w:p>
    <w:p w14:paraId="0C0D584D" w14:textId="77777777" w:rsidR="009B6144" w:rsidRPr="009B6144" w:rsidRDefault="009B6144" w:rsidP="009B6144">
      <w:pPr>
        <w:pStyle w:val="Bibliography"/>
        <w:rPr>
          <w:rFonts w:cs="Times New Roman"/>
        </w:rPr>
      </w:pPr>
      <w:r w:rsidRPr="009B6144">
        <w:rPr>
          <w:rFonts w:cs="Times New Roman"/>
        </w:rPr>
        <w:t>[2]</w:t>
      </w:r>
      <w:r w:rsidRPr="009B6144">
        <w:rPr>
          <w:rFonts w:cs="Times New Roman"/>
        </w:rPr>
        <w:tab/>
        <w:t xml:space="preserve">R. Mishra and B. Li, “The Application of Artificial Intelligence in the Genetic Study of Alzheimer’s Disease,” </w:t>
      </w:r>
      <w:r w:rsidRPr="009B6144">
        <w:rPr>
          <w:rFonts w:cs="Times New Roman"/>
          <w:i/>
          <w:iCs/>
        </w:rPr>
        <w:t>Aging and disease</w:t>
      </w:r>
      <w:r w:rsidRPr="009B6144">
        <w:rPr>
          <w:rFonts w:cs="Times New Roman"/>
        </w:rPr>
        <w:t>, vol. 11, no. 6, p. 1567, 2020, doi: 10.14336/AD.2020.0312.</w:t>
      </w:r>
    </w:p>
    <w:p w14:paraId="7701366B" w14:textId="77777777" w:rsidR="009B6144" w:rsidRPr="009B6144" w:rsidRDefault="009B6144" w:rsidP="009B6144">
      <w:pPr>
        <w:pStyle w:val="Bibliography"/>
        <w:rPr>
          <w:rFonts w:cs="Times New Roman"/>
        </w:rPr>
      </w:pPr>
      <w:r w:rsidRPr="009B6144">
        <w:rPr>
          <w:rFonts w:cs="Times New Roman"/>
        </w:rPr>
        <w:t>[3]</w:t>
      </w:r>
      <w:r w:rsidRPr="009B6144">
        <w:rPr>
          <w:rFonts w:cs="Times New Roman"/>
        </w:rPr>
        <w:tab/>
        <w:t xml:space="preserve">M. Osipowicz, B. Wilczynski, M. A. Machnicka, and for the Alzheimer’s Disease Neuroimaging Initiative, “Careful feature selection is key in classification of Alzheimer’s disease patients based on whole-genome sequencing data,” </w:t>
      </w:r>
      <w:r w:rsidRPr="009B6144">
        <w:rPr>
          <w:rFonts w:cs="Times New Roman"/>
          <w:i/>
          <w:iCs/>
        </w:rPr>
        <w:t>NAR Genomics and Bioinformatics</w:t>
      </w:r>
      <w:r w:rsidRPr="009B6144">
        <w:rPr>
          <w:rFonts w:cs="Times New Roman"/>
        </w:rPr>
        <w:t>, vol. 3, no. 3, p. lqab069, Jun. 2021, doi: 10.1093/nargab/lqab069.</w:t>
      </w:r>
    </w:p>
    <w:p w14:paraId="0491ACC6" w14:textId="77777777" w:rsidR="009B6144" w:rsidRPr="009B6144" w:rsidRDefault="009B6144" w:rsidP="009B6144">
      <w:pPr>
        <w:pStyle w:val="Bibliography"/>
        <w:rPr>
          <w:rFonts w:cs="Times New Roman"/>
        </w:rPr>
      </w:pPr>
      <w:r w:rsidRPr="009B6144">
        <w:rPr>
          <w:rFonts w:cs="Times New Roman"/>
        </w:rPr>
        <w:t>[4]</w:t>
      </w:r>
      <w:r w:rsidRPr="009B6144">
        <w:rPr>
          <w:rFonts w:cs="Times New Roman"/>
        </w:rPr>
        <w:tab/>
        <w:t xml:space="preserve">N. Briones and V. Dinu, “Data mining of high density genomic variant data for prediction of Alzheimer’s disease risk,” </w:t>
      </w:r>
      <w:r w:rsidRPr="009B6144">
        <w:rPr>
          <w:rFonts w:cs="Times New Roman"/>
          <w:i/>
          <w:iCs/>
        </w:rPr>
        <w:t>BMC Med Genet</w:t>
      </w:r>
      <w:r w:rsidRPr="009B6144">
        <w:rPr>
          <w:rFonts w:cs="Times New Roman"/>
        </w:rPr>
        <w:t>, vol. 13, no. 1, p. 7, Dec. 2012, doi: 10.1186/1471-2350-13-7.</w:t>
      </w:r>
    </w:p>
    <w:p w14:paraId="639DCBD2" w14:textId="77777777" w:rsidR="009B6144" w:rsidRPr="009B6144" w:rsidRDefault="009B6144" w:rsidP="009B6144">
      <w:pPr>
        <w:pStyle w:val="Bibliography"/>
        <w:rPr>
          <w:rFonts w:cs="Times New Roman"/>
        </w:rPr>
      </w:pPr>
      <w:r w:rsidRPr="009B6144">
        <w:rPr>
          <w:rFonts w:cs="Times New Roman"/>
        </w:rPr>
        <w:t>[5]</w:t>
      </w:r>
      <w:r w:rsidRPr="009B6144">
        <w:rPr>
          <w:rFonts w:cs="Times New Roman"/>
        </w:rPr>
        <w:tab/>
        <w:t xml:space="preserve">T.-T. Nguyen, J. Z. Huang, Q. Wu, T. T. Nguyen, and M. J. Li, “Genome-wide association data classification and SNPs selection using two-stage quality-based Random Forests,” </w:t>
      </w:r>
      <w:r w:rsidRPr="009B6144">
        <w:rPr>
          <w:rFonts w:cs="Times New Roman"/>
          <w:i/>
          <w:iCs/>
        </w:rPr>
        <w:t>BMC Genomics</w:t>
      </w:r>
      <w:r w:rsidRPr="009B6144">
        <w:rPr>
          <w:rFonts w:cs="Times New Roman"/>
        </w:rPr>
        <w:t>, vol. 16, no. S2, p. S5, Dec. 2015, doi: 10.1186/1471-2164-16-S2-S5.</w:t>
      </w:r>
    </w:p>
    <w:p w14:paraId="37A1115B" w14:textId="77777777" w:rsidR="009B6144" w:rsidRPr="009B6144" w:rsidRDefault="009B6144" w:rsidP="009B6144">
      <w:pPr>
        <w:pStyle w:val="Bibliography"/>
        <w:rPr>
          <w:rFonts w:cs="Times New Roman"/>
        </w:rPr>
      </w:pPr>
      <w:r w:rsidRPr="009B6144">
        <w:rPr>
          <w:rFonts w:cs="Times New Roman"/>
        </w:rPr>
        <w:t>[6]</w:t>
      </w:r>
      <w:r w:rsidRPr="009B6144">
        <w:rPr>
          <w:rFonts w:cs="Times New Roman"/>
        </w:rPr>
        <w:tab/>
        <w:t xml:space="preserve">M. E. Stokes, M. Barmada, M. Kamboh, and S. Visweswaran, “The application of network label propagation to rank biomarkers in genome-wide Alzheimer’s data,” </w:t>
      </w:r>
      <w:r w:rsidRPr="009B6144">
        <w:rPr>
          <w:rFonts w:cs="Times New Roman"/>
          <w:i/>
          <w:iCs/>
        </w:rPr>
        <w:t>BMC Genomics</w:t>
      </w:r>
      <w:r w:rsidRPr="009B6144">
        <w:rPr>
          <w:rFonts w:cs="Times New Roman"/>
        </w:rPr>
        <w:t>, vol. 15, no. 1, p. 282, 2014, doi: 10.1186/1471-2164-15-282.</w:t>
      </w:r>
    </w:p>
    <w:p w14:paraId="39239046" w14:textId="77777777" w:rsidR="009B6144" w:rsidRPr="009B6144" w:rsidRDefault="009B6144" w:rsidP="009B6144">
      <w:pPr>
        <w:pStyle w:val="Bibliography"/>
        <w:rPr>
          <w:rFonts w:cs="Times New Roman"/>
        </w:rPr>
      </w:pPr>
      <w:r w:rsidRPr="009B6144">
        <w:rPr>
          <w:rFonts w:cs="Times New Roman"/>
        </w:rPr>
        <w:t>[7]</w:t>
      </w:r>
      <w:r w:rsidRPr="009B6144">
        <w:rPr>
          <w:rFonts w:cs="Times New Roman"/>
        </w:rPr>
        <w:tab/>
        <w:t xml:space="preserve">T. Khater </w:t>
      </w:r>
      <w:r w:rsidRPr="009B6144">
        <w:rPr>
          <w:rFonts w:cs="Times New Roman"/>
          <w:i/>
          <w:iCs/>
        </w:rPr>
        <w:t>et al.</w:t>
      </w:r>
      <w:r w:rsidRPr="009B6144">
        <w:rPr>
          <w:rFonts w:cs="Times New Roman"/>
        </w:rPr>
        <w:t xml:space="preserve">, “Explainable Machine Learning Model for Alzheimer Detection Using Genetic Data: A Genome-Wide Association Study Approach,” </w:t>
      </w:r>
      <w:r w:rsidRPr="009B6144">
        <w:rPr>
          <w:rFonts w:cs="Times New Roman"/>
          <w:i/>
          <w:iCs/>
        </w:rPr>
        <w:t>IEEE Access</w:t>
      </w:r>
      <w:r w:rsidRPr="009B6144">
        <w:rPr>
          <w:rFonts w:cs="Times New Roman"/>
        </w:rPr>
        <w:t>, vol. 12, pp. 95091–95105, 2024, doi: 10.1109/ACCESS.2024.3410135.</w:t>
      </w:r>
    </w:p>
    <w:p w14:paraId="24629A75" w14:textId="77777777" w:rsidR="009B6144" w:rsidRPr="009B6144" w:rsidRDefault="009B6144" w:rsidP="009B6144">
      <w:pPr>
        <w:pStyle w:val="Bibliography"/>
        <w:rPr>
          <w:rFonts w:cs="Times New Roman"/>
        </w:rPr>
      </w:pPr>
      <w:r w:rsidRPr="009B6144">
        <w:rPr>
          <w:rFonts w:cs="Times New Roman"/>
        </w:rPr>
        <w:t>[8]</w:t>
      </w:r>
      <w:r w:rsidRPr="009B6144">
        <w:rPr>
          <w:rFonts w:cs="Times New Roman"/>
        </w:rPr>
        <w:tab/>
        <w:t xml:space="preserve">Computer and Information Technology Faculty, Sana’a University, Yemen, G. M. Fadhl Alqubati, G. H. Algaphari, and Computer and Information Technology Faculty, Sana’a University, Yemen, “Machine learning and deep learning-based approaches on various biomarkers for Alzheimer’s disease early detection: A review,” </w:t>
      </w:r>
      <w:r w:rsidRPr="009B6144">
        <w:rPr>
          <w:rFonts w:cs="Times New Roman"/>
          <w:i/>
          <w:iCs/>
        </w:rPr>
        <w:t>IJSECS</w:t>
      </w:r>
      <w:r w:rsidRPr="009B6144">
        <w:rPr>
          <w:rFonts w:cs="Times New Roman"/>
        </w:rPr>
        <w:t>, vol. 7, no. 2, pp. 26–43, Aug. 2021, doi: 10.15282/ijsecs.7.2.2021.4.0087.</w:t>
      </w:r>
    </w:p>
    <w:p w14:paraId="75CC49DA" w14:textId="77777777" w:rsidR="009B6144" w:rsidRPr="009B6144" w:rsidRDefault="009B6144" w:rsidP="009B6144">
      <w:pPr>
        <w:pStyle w:val="Bibliography"/>
        <w:rPr>
          <w:rFonts w:cs="Times New Roman"/>
        </w:rPr>
      </w:pPr>
      <w:r w:rsidRPr="009B6144">
        <w:rPr>
          <w:rFonts w:cs="Times New Roman"/>
        </w:rPr>
        <w:t>[9]</w:t>
      </w:r>
      <w:r w:rsidRPr="009B6144">
        <w:rPr>
          <w:rFonts w:cs="Times New Roman"/>
        </w:rPr>
        <w:tab/>
        <w:t xml:space="preserve">T. Jo, P. Bice, K. Nho, A. J. Saykin, and Alzheimer’s Disease Sequencing Project, “LD‐informed deep learning for Alzheimer’s gene loci detection using WGS data,” </w:t>
      </w:r>
      <w:r w:rsidRPr="009B6144">
        <w:rPr>
          <w:rFonts w:cs="Times New Roman"/>
          <w:i/>
          <w:iCs/>
        </w:rPr>
        <w:t>A&amp;D Transl Res &amp; Clin Interv</w:t>
      </w:r>
      <w:r w:rsidRPr="009B6144">
        <w:rPr>
          <w:rFonts w:cs="Times New Roman"/>
        </w:rPr>
        <w:t>, vol. 11, no. 1, p. e70041, Jan. 2025, doi: 10.1002/trc2.70041.</w:t>
      </w:r>
    </w:p>
    <w:p w14:paraId="393A17BF" w14:textId="77777777" w:rsidR="009B6144" w:rsidRPr="009B6144" w:rsidRDefault="009B6144" w:rsidP="009B6144">
      <w:pPr>
        <w:pStyle w:val="Bibliography"/>
        <w:rPr>
          <w:rFonts w:cs="Times New Roman"/>
        </w:rPr>
      </w:pPr>
      <w:r w:rsidRPr="009B6144">
        <w:rPr>
          <w:rFonts w:cs="Times New Roman"/>
        </w:rPr>
        <w:t>[10]</w:t>
      </w:r>
      <w:r w:rsidRPr="009B6144">
        <w:rPr>
          <w:rFonts w:cs="Times New Roman"/>
        </w:rPr>
        <w:tab/>
        <w:t xml:space="preserve">T. Jo, E. H. Lee, and A. D. S. Project, “Uncertainty-Aware Genomic Classification of Alzheimer’s Disease: A Transformer-Based Ensemble Approach with Monte Carlo Dropout,” 2025, </w:t>
      </w:r>
      <w:r w:rsidRPr="009B6144">
        <w:rPr>
          <w:rFonts w:cs="Times New Roman"/>
          <w:i/>
          <w:iCs/>
        </w:rPr>
        <w:t>arXiv</w:t>
      </w:r>
      <w:r w:rsidRPr="009B6144">
        <w:rPr>
          <w:rFonts w:cs="Times New Roman"/>
        </w:rPr>
        <w:t>. doi: 10.48550/ARXIV.2506.00662.</w:t>
      </w:r>
    </w:p>
    <w:p w14:paraId="04ADD56E" w14:textId="77777777" w:rsidR="009B6144" w:rsidRPr="009B6144" w:rsidRDefault="009B6144" w:rsidP="009B6144">
      <w:pPr>
        <w:pStyle w:val="Bibliography"/>
        <w:rPr>
          <w:rFonts w:cs="Times New Roman"/>
        </w:rPr>
      </w:pPr>
      <w:r w:rsidRPr="009B6144">
        <w:rPr>
          <w:rFonts w:cs="Times New Roman"/>
        </w:rPr>
        <w:t>[11]</w:t>
      </w:r>
      <w:r w:rsidRPr="009B6144">
        <w:rPr>
          <w:rFonts w:cs="Times New Roman"/>
        </w:rPr>
        <w:tab/>
        <w:t xml:space="preserve">F. Ursin, C. Timmermann, and F. Steger, “Ethical Implications of Alzheimer’s Disease Prediction in Asymptomatic Individuals through Artificial Intelligence,” </w:t>
      </w:r>
      <w:r w:rsidRPr="009B6144">
        <w:rPr>
          <w:rFonts w:cs="Times New Roman"/>
          <w:i/>
          <w:iCs/>
        </w:rPr>
        <w:t>Diagnostics</w:t>
      </w:r>
      <w:r w:rsidRPr="009B6144">
        <w:rPr>
          <w:rFonts w:cs="Times New Roman"/>
        </w:rPr>
        <w:t>, vol. 11, no. 3, p. 440, Mar. 2021, doi: 10.3390/diagnostics11030440.</w:t>
      </w:r>
    </w:p>
    <w:p w14:paraId="1BE184AD" w14:textId="77777777" w:rsidR="009B6144" w:rsidRPr="009B6144" w:rsidRDefault="009B6144" w:rsidP="009B6144">
      <w:pPr>
        <w:pStyle w:val="Bibliography"/>
        <w:rPr>
          <w:rFonts w:cs="Times New Roman"/>
        </w:rPr>
      </w:pPr>
      <w:r w:rsidRPr="009B6144">
        <w:rPr>
          <w:rFonts w:cs="Times New Roman"/>
        </w:rPr>
        <w:t>[12]</w:t>
      </w:r>
      <w:r w:rsidRPr="009B6144">
        <w:rPr>
          <w:rFonts w:cs="Times New Roman"/>
        </w:rPr>
        <w:tab/>
        <w:t xml:space="preserve">Y. Ding </w:t>
      </w:r>
      <w:r w:rsidRPr="009B6144">
        <w:rPr>
          <w:rFonts w:cs="Times New Roman"/>
          <w:i/>
          <w:iCs/>
        </w:rPr>
        <w:t>et al.</w:t>
      </w:r>
      <w:r w:rsidRPr="009B6144">
        <w:rPr>
          <w:rFonts w:cs="Times New Roman"/>
        </w:rPr>
        <w:t>, “A Deep Learning Model to Predict a Diagnosis of Alzheimer Disease by Using</w:t>
      </w:r>
      <w:r w:rsidRPr="009B6144">
        <w:rPr>
          <w:rFonts w:cs="Times New Roman"/>
          <w:vertAlign w:val="superscript"/>
        </w:rPr>
        <w:t>18</w:t>
      </w:r>
      <w:r w:rsidRPr="009B6144">
        <w:rPr>
          <w:rFonts w:cs="Times New Roman"/>
        </w:rPr>
        <w:t xml:space="preserve"> F-FDG PET of the Brain,” </w:t>
      </w:r>
      <w:r w:rsidRPr="009B6144">
        <w:rPr>
          <w:rFonts w:cs="Times New Roman"/>
          <w:i/>
          <w:iCs/>
        </w:rPr>
        <w:t>Radiology</w:t>
      </w:r>
      <w:r w:rsidRPr="009B6144">
        <w:rPr>
          <w:rFonts w:cs="Times New Roman"/>
        </w:rPr>
        <w:t>, vol. 290, no. 2, pp. 456–464, Feb. 2019, doi: 10.1148/radiol.2018180958.</w:t>
      </w:r>
    </w:p>
    <w:p w14:paraId="35AB9EAA" w14:textId="77777777" w:rsidR="009B6144" w:rsidRPr="009B6144" w:rsidRDefault="009B6144" w:rsidP="009B6144">
      <w:pPr>
        <w:pStyle w:val="Bibliography"/>
        <w:rPr>
          <w:rFonts w:cs="Times New Roman"/>
        </w:rPr>
      </w:pPr>
      <w:r w:rsidRPr="009B6144">
        <w:rPr>
          <w:rFonts w:cs="Times New Roman"/>
        </w:rPr>
        <w:t>[13]</w:t>
      </w:r>
      <w:r w:rsidRPr="009B6144">
        <w:rPr>
          <w:rFonts w:cs="Times New Roman"/>
        </w:rPr>
        <w:tab/>
        <w:t xml:space="preserve">Z. Liu </w:t>
      </w:r>
      <w:r w:rsidRPr="009B6144">
        <w:rPr>
          <w:rFonts w:cs="Times New Roman"/>
          <w:i/>
          <w:iCs/>
        </w:rPr>
        <w:t>et al.</w:t>
      </w:r>
      <w:r w:rsidRPr="009B6144">
        <w:rPr>
          <w:rFonts w:cs="Times New Roman"/>
        </w:rPr>
        <w:t xml:space="preserve">, “AD-GPT: Large Language Models in Alzheimer’s Disease,” 2025, </w:t>
      </w:r>
      <w:r w:rsidRPr="009B6144">
        <w:rPr>
          <w:rFonts w:cs="Times New Roman"/>
          <w:i/>
          <w:iCs/>
        </w:rPr>
        <w:t>arXiv</w:t>
      </w:r>
      <w:r w:rsidRPr="009B6144">
        <w:rPr>
          <w:rFonts w:cs="Times New Roman"/>
        </w:rPr>
        <w:t>. doi: 10.48550/ARXIV.2504.03071.</w:t>
      </w:r>
    </w:p>
    <w:p w14:paraId="13F2B3FB" w14:textId="77777777" w:rsidR="009B6144" w:rsidRPr="009B6144" w:rsidRDefault="009B6144" w:rsidP="009B6144">
      <w:pPr>
        <w:pStyle w:val="Bibliography"/>
        <w:rPr>
          <w:rFonts w:cs="Times New Roman"/>
        </w:rPr>
      </w:pPr>
      <w:r w:rsidRPr="009B6144">
        <w:rPr>
          <w:rFonts w:cs="Times New Roman"/>
        </w:rPr>
        <w:t>[14]</w:t>
      </w:r>
      <w:r w:rsidRPr="009B6144">
        <w:rPr>
          <w:rFonts w:cs="Times New Roman"/>
        </w:rPr>
        <w:tab/>
        <w:t xml:space="preserve">A. S. Alatrany, A. J. Hussain, J. Mustafina, and D. Al-Jumeily, “Machine Learning Approaches and Applications in Genome Wide Association Study for Alzheimer’s Disease: A </w:t>
      </w:r>
      <w:r w:rsidRPr="009B6144">
        <w:rPr>
          <w:rFonts w:cs="Times New Roman"/>
        </w:rPr>
        <w:lastRenderedPageBreak/>
        <w:t xml:space="preserve">Systematic Review,” </w:t>
      </w:r>
      <w:r w:rsidRPr="009B6144">
        <w:rPr>
          <w:rFonts w:cs="Times New Roman"/>
          <w:i/>
          <w:iCs/>
        </w:rPr>
        <w:t>IEEE Access</w:t>
      </w:r>
      <w:r w:rsidRPr="009B6144">
        <w:rPr>
          <w:rFonts w:cs="Times New Roman"/>
        </w:rPr>
        <w:t>, vol. 10, pp. 62831–62847, 2022, doi: 10.1109/ACCESS.2022.3182543.</w:t>
      </w:r>
    </w:p>
    <w:p w14:paraId="60EF5DF4" w14:textId="77777777" w:rsidR="009B6144" w:rsidRPr="009B6144" w:rsidRDefault="009B6144" w:rsidP="009B6144">
      <w:pPr>
        <w:pStyle w:val="Bibliography"/>
        <w:rPr>
          <w:rFonts w:cs="Times New Roman"/>
        </w:rPr>
      </w:pPr>
      <w:r w:rsidRPr="009B6144">
        <w:rPr>
          <w:rFonts w:cs="Times New Roman"/>
        </w:rPr>
        <w:t>[15]</w:t>
      </w:r>
      <w:r w:rsidRPr="009B6144">
        <w:rPr>
          <w:rFonts w:cs="Times New Roman"/>
        </w:rPr>
        <w:tab/>
        <w:t xml:space="preserve">R. O. Bahado-Singh </w:t>
      </w:r>
      <w:r w:rsidRPr="009B6144">
        <w:rPr>
          <w:rFonts w:cs="Times New Roman"/>
          <w:i/>
          <w:iCs/>
        </w:rPr>
        <w:t>et al.</w:t>
      </w:r>
      <w:r w:rsidRPr="009B6144">
        <w:rPr>
          <w:rFonts w:cs="Times New Roman"/>
        </w:rPr>
        <w:t xml:space="preserve">, “Artificial intelligence and leukocyte epigenomics: Evaluation and prediction of late-onset Alzheimer’s disease,” </w:t>
      </w:r>
      <w:r w:rsidRPr="009B6144">
        <w:rPr>
          <w:rFonts w:cs="Times New Roman"/>
          <w:i/>
          <w:iCs/>
        </w:rPr>
        <w:t>PLoS ONE</w:t>
      </w:r>
      <w:r w:rsidRPr="009B6144">
        <w:rPr>
          <w:rFonts w:cs="Times New Roman"/>
        </w:rPr>
        <w:t>, vol. 16, no. 3, p. e0248375, Mar. 2021, doi: 10.1371/journal.pone.0248375.</w:t>
      </w:r>
    </w:p>
    <w:p w14:paraId="59F43534" w14:textId="77777777" w:rsidR="009B6144" w:rsidRPr="009B6144" w:rsidRDefault="009B6144" w:rsidP="009B6144">
      <w:pPr>
        <w:pStyle w:val="Bibliography"/>
        <w:rPr>
          <w:rFonts w:cs="Times New Roman"/>
        </w:rPr>
      </w:pPr>
      <w:r w:rsidRPr="009B6144">
        <w:rPr>
          <w:rFonts w:cs="Times New Roman"/>
        </w:rPr>
        <w:t>[16]</w:t>
      </w:r>
      <w:r w:rsidRPr="009B6144">
        <w:rPr>
          <w:rFonts w:cs="Times New Roman"/>
        </w:rPr>
        <w:tab/>
        <w:t xml:space="preserve">J. X. Wang, Y. Li, X. Li, and Z.-H. Lu, “Alzheimer’s Disease Classification Through Imaging Genetic Data With IGnet,” </w:t>
      </w:r>
      <w:r w:rsidRPr="009B6144">
        <w:rPr>
          <w:rFonts w:cs="Times New Roman"/>
          <w:i/>
          <w:iCs/>
        </w:rPr>
        <w:t>Front. Neurosci.</w:t>
      </w:r>
      <w:r w:rsidRPr="009B6144">
        <w:rPr>
          <w:rFonts w:cs="Times New Roman"/>
        </w:rPr>
        <w:t>, vol. 16, p. 846638, Mar. 2022, doi: 10.3389/fnins.2022.846638.</w:t>
      </w:r>
    </w:p>
    <w:p w14:paraId="08A9E462" w14:textId="77777777" w:rsidR="009B6144" w:rsidRPr="009B6144" w:rsidRDefault="009B6144" w:rsidP="009B6144">
      <w:pPr>
        <w:pStyle w:val="Bibliography"/>
        <w:rPr>
          <w:rFonts w:cs="Times New Roman"/>
        </w:rPr>
      </w:pPr>
      <w:r w:rsidRPr="009B6144">
        <w:rPr>
          <w:rFonts w:cs="Times New Roman"/>
        </w:rPr>
        <w:t>[17]</w:t>
      </w:r>
      <w:r w:rsidRPr="009B6144">
        <w:rPr>
          <w:rFonts w:cs="Times New Roman"/>
        </w:rPr>
        <w:tab/>
        <w:t xml:space="preserve">Y. Nam </w:t>
      </w:r>
      <w:r w:rsidRPr="009B6144">
        <w:rPr>
          <w:rFonts w:cs="Times New Roman"/>
          <w:i/>
          <w:iCs/>
        </w:rPr>
        <w:t>et al.</w:t>
      </w:r>
      <w:r w:rsidRPr="009B6144">
        <w:rPr>
          <w:rFonts w:cs="Times New Roman"/>
        </w:rPr>
        <w:t xml:space="preserve">, “BrainNetScore: Enhancing Alzheimer’s disease risk prediction using genetic‐guided brain volumetric phenotype network,” </w:t>
      </w:r>
      <w:r w:rsidRPr="009B6144">
        <w:rPr>
          <w:rFonts w:cs="Times New Roman"/>
          <w:i/>
          <w:iCs/>
        </w:rPr>
        <w:t>Alzheimer’s &amp;amp; Dementia</w:t>
      </w:r>
      <w:r w:rsidRPr="009B6144">
        <w:rPr>
          <w:rFonts w:cs="Times New Roman"/>
        </w:rPr>
        <w:t>, vol. 20, no. S1, p. e084351, Dec. 2024, doi: 10.1002/alz.084351.</w:t>
      </w:r>
    </w:p>
    <w:p w14:paraId="78AB4AEE" w14:textId="77777777" w:rsidR="009B6144" w:rsidRPr="009B6144" w:rsidRDefault="009B6144" w:rsidP="009B6144">
      <w:pPr>
        <w:pStyle w:val="Bibliography"/>
        <w:rPr>
          <w:rFonts w:cs="Times New Roman"/>
        </w:rPr>
      </w:pPr>
      <w:r w:rsidRPr="009B6144">
        <w:rPr>
          <w:rFonts w:cs="Times New Roman"/>
        </w:rPr>
        <w:t>[18]</w:t>
      </w:r>
      <w:r w:rsidRPr="009B6144">
        <w:rPr>
          <w:rFonts w:cs="Times New Roman"/>
        </w:rPr>
        <w:tab/>
        <w:t xml:space="preserve">Q. Zhang </w:t>
      </w:r>
      <w:r w:rsidRPr="009B6144">
        <w:rPr>
          <w:rFonts w:cs="Times New Roman"/>
          <w:i/>
          <w:iCs/>
        </w:rPr>
        <w:t>et al.</w:t>
      </w:r>
      <w:r w:rsidRPr="009B6144">
        <w:rPr>
          <w:rFonts w:cs="Times New Roman"/>
        </w:rPr>
        <w:t xml:space="preserve">, “Risk prediction of late-onset Alzheimer’s disease implies an oligogenic architecture,” </w:t>
      </w:r>
      <w:r w:rsidRPr="009B6144">
        <w:rPr>
          <w:rFonts w:cs="Times New Roman"/>
          <w:i/>
          <w:iCs/>
        </w:rPr>
        <w:t>Nat Commun</w:t>
      </w:r>
      <w:r w:rsidRPr="009B6144">
        <w:rPr>
          <w:rFonts w:cs="Times New Roman"/>
        </w:rPr>
        <w:t>, vol. 11, no. 1, p. 4799, Sep. 2020, doi: 10.1038/s41467-020-18534-1.</w:t>
      </w:r>
    </w:p>
    <w:p w14:paraId="5E6689AA" w14:textId="77777777" w:rsidR="009B6144" w:rsidRPr="009B6144" w:rsidRDefault="009B6144" w:rsidP="009B6144">
      <w:pPr>
        <w:pStyle w:val="Bibliography"/>
        <w:rPr>
          <w:rFonts w:cs="Times New Roman"/>
        </w:rPr>
      </w:pPr>
      <w:r w:rsidRPr="009B6144">
        <w:rPr>
          <w:rFonts w:cs="Times New Roman"/>
        </w:rPr>
        <w:t>[19]</w:t>
      </w:r>
      <w:r w:rsidRPr="009B6144">
        <w:rPr>
          <w:rFonts w:cs="Times New Roman"/>
        </w:rPr>
        <w:tab/>
        <w:t xml:space="preserve">K. Sekaran, A. M. Alsamman, C. George Priya Doss, and H. Zayed, “Bioinformatics investigation on blood-based gene expressions of Alzheimer’s disease revealed ORAI2 gene biomarker susceptibility: An explainable artificial intelligence-based approach,” </w:t>
      </w:r>
      <w:r w:rsidRPr="009B6144">
        <w:rPr>
          <w:rFonts w:cs="Times New Roman"/>
          <w:i/>
          <w:iCs/>
        </w:rPr>
        <w:t>Metab Brain Dis</w:t>
      </w:r>
      <w:r w:rsidRPr="009B6144">
        <w:rPr>
          <w:rFonts w:cs="Times New Roman"/>
        </w:rPr>
        <w:t>, vol. 38, no. 4, pp. 1297–1310, Apr. 2023, doi: 10.1007/s11011-023-01171-0.</w:t>
      </w:r>
    </w:p>
    <w:p w14:paraId="1EBC2CAE" w14:textId="77777777" w:rsidR="009B6144" w:rsidRPr="009B6144" w:rsidRDefault="009B6144" w:rsidP="009B6144">
      <w:pPr>
        <w:pStyle w:val="Bibliography"/>
        <w:rPr>
          <w:rFonts w:cs="Times New Roman"/>
        </w:rPr>
      </w:pPr>
      <w:r w:rsidRPr="009B6144">
        <w:rPr>
          <w:rFonts w:cs="Times New Roman"/>
        </w:rPr>
        <w:t>[20]</w:t>
      </w:r>
      <w:r w:rsidRPr="009B6144">
        <w:rPr>
          <w:rFonts w:cs="Times New Roman"/>
        </w:rPr>
        <w:tab/>
        <w:t xml:space="preserve">H. Anzum, N. S. Sammo, and S. Akhter, “Leveraging transformers and explainable AI for Alzheimer’s disease interpretability,” </w:t>
      </w:r>
      <w:r w:rsidRPr="009B6144">
        <w:rPr>
          <w:rFonts w:cs="Times New Roman"/>
          <w:i/>
          <w:iCs/>
        </w:rPr>
        <w:t>PLoS One</w:t>
      </w:r>
      <w:r w:rsidRPr="009B6144">
        <w:rPr>
          <w:rFonts w:cs="Times New Roman"/>
        </w:rPr>
        <w:t>, vol. 20, no. 5, p. e0322607, May 2025, doi: 10.1371/journal.pone.0322607.</w:t>
      </w:r>
    </w:p>
    <w:p w14:paraId="340AD498" w14:textId="77777777" w:rsidR="009B6144" w:rsidRPr="009B6144" w:rsidRDefault="009B6144" w:rsidP="009B6144">
      <w:pPr>
        <w:pStyle w:val="Bibliography"/>
        <w:rPr>
          <w:rFonts w:cs="Times New Roman"/>
        </w:rPr>
      </w:pPr>
      <w:r w:rsidRPr="009B6144">
        <w:rPr>
          <w:rFonts w:cs="Times New Roman"/>
        </w:rPr>
        <w:t>[21]</w:t>
      </w:r>
      <w:r w:rsidRPr="009B6144">
        <w:rPr>
          <w:rFonts w:cs="Times New Roman"/>
        </w:rPr>
        <w:tab/>
        <w:t xml:space="preserve">R. Gupta and Z. Iftekhar, “Artificial Intelligence for Alzheimer’s Disease Detection: Enhancing Biomarker Analysis and Diagnostic Precision,” in </w:t>
      </w:r>
      <w:r w:rsidRPr="009B6144">
        <w:rPr>
          <w:rFonts w:cs="Times New Roman"/>
          <w:i/>
          <w:iCs/>
        </w:rPr>
        <w:t>ECSOC 2024</w:t>
      </w:r>
      <w:r w:rsidRPr="009B6144">
        <w:rPr>
          <w:rFonts w:cs="Times New Roman"/>
        </w:rPr>
        <w:t>, MDPI, Nov. 2024, p. 25. doi: 10.3390/ecsoc-28-20206.</w:t>
      </w:r>
    </w:p>
    <w:p w14:paraId="1E8AACB4" w14:textId="77777777" w:rsidR="009B6144" w:rsidRPr="009B6144" w:rsidRDefault="009B6144" w:rsidP="009B6144">
      <w:pPr>
        <w:pStyle w:val="Bibliography"/>
        <w:rPr>
          <w:rFonts w:cs="Times New Roman"/>
        </w:rPr>
      </w:pPr>
      <w:r w:rsidRPr="009B6144">
        <w:rPr>
          <w:rFonts w:cs="Times New Roman"/>
        </w:rPr>
        <w:t>[22]</w:t>
      </w:r>
      <w:r w:rsidRPr="009B6144">
        <w:rPr>
          <w:rFonts w:cs="Times New Roman"/>
        </w:rPr>
        <w:tab/>
        <w:t xml:space="preserve">C. Woods, X. Xing, S. Khanal, and A.-L. Lin, “Machine Learning-Driven Prediction of Brain Age for Alzheimer’s Risk: APOE4 Genotype and Gender Effects,” </w:t>
      </w:r>
      <w:r w:rsidRPr="009B6144">
        <w:rPr>
          <w:rFonts w:cs="Times New Roman"/>
          <w:i/>
          <w:iCs/>
        </w:rPr>
        <w:t>Bioengineering</w:t>
      </w:r>
      <w:r w:rsidRPr="009B6144">
        <w:rPr>
          <w:rFonts w:cs="Times New Roman"/>
        </w:rPr>
        <w:t>, vol. 11, no. 9, p. 943, Sep. 2024, doi: 10.3390/bioengineering11090943.</w:t>
      </w:r>
    </w:p>
    <w:p w14:paraId="491034EE" w14:textId="77777777" w:rsidR="009B6144" w:rsidRPr="009B6144" w:rsidRDefault="009B6144" w:rsidP="009B6144">
      <w:pPr>
        <w:pStyle w:val="Bibliography"/>
        <w:rPr>
          <w:rFonts w:cs="Times New Roman"/>
        </w:rPr>
      </w:pPr>
      <w:r w:rsidRPr="009B6144">
        <w:rPr>
          <w:rFonts w:cs="Times New Roman"/>
        </w:rPr>
        <w:t>[23]</w:t>
      </w:r>
      <w:r w:rsidRPr="009B6144">
        <w:rPr>
          <w:rFonts w:cs="Times New Roman"/>
        </w:rPr>
        <w:tab/>
        <w:t xml:space="preserve">S. Khan, K. H. Barve, and M. S. Kumar, “Recent Advancements in Pathogenesis, Diagnostics and Treatment of Alzheimer’s Disease,” </w:t>
      </w:r>
      <w:r w:rsidRPr="009B6144">
        <w:rPr>
          <w:rFonts w:cs="Times New Roman"/>
          <w:i/>
          <w:iCs/>
        </w:rPr>
        <w:t>Curr Neuropharmacol</w:t>
      </w:r>
      <w:r w:rsidRPr="009B6144">
        <w:rPr>
          <w:rFonts w:cs="Times New Roman"/>
        </w:rPr>
        <w:t>, vol. 18, no. 11, pp. 1106–1125, Nov. 2020, doi: 10.2174/1570159X18666200528142429.</w:t>
      </w:r>
    </w:p>
    <w:p w14:paraId="0DCB6981" w14:textId="77777777" w:rsidR="009B6144" w:rsidRPr="009B6144" w:rsidRDefault="009B6144" w:rsidP="009B6144">
      <w:pPr>
        <w:pStyle w:val="Bibliography"/>
        <w:rPr>
          <w:rFonts w:cs="Times New Roman"/>
        </w:rPr>
      </w:pPr>
      <w:r w:rsidRPr="009B6144">
        <w:rPr>
          <w:rFonts w:cs="Times New Roman"/>
        </w:rPr>
        <w:t>[24]</w:t>
      </w:r>
      <w:r w:rsidRPr="009B6144">
        <w:rPr>
          <w:rFonts w:cs="Times New Roman"/>
        </w:rPr>
        <w:tab/>
        <w:t xml:space="preserve">S. Jemimah, A. AlShehhi, and for the Alzheimer’s Disease Neuroimaging Initiative, “c-Diadem: a constrained dual-input deep learning model to identify novel biomarkers in Alzheimer’s disease,” </w:t>
      </w:r>
      <w:r w:rsidRPr="009B6144">
        <w:rPr>
          <w:rFonts w:cs="Times New Roman"/>
          <w:i/>
          <w:iCs/>
        </w:rPr>
        <w:t>BMC Med Genomics</w:t>
      </w:r>
      <w:r w:rsidRPr="009B6144">
        <w:rPr>
          <w:rFonts w:cs="Times New Roman"/>
        </w:rPr>
        <w:t>, vol. 16, no. S2, p. 244, Oct. 2023, doi: 10.1186/s12920-023-01675-9.</w:t>
      </w:r>
    </w:p>
    <w:p w14:paraId="4F9B2193" w14:textId="77777777" w:rsidR="009B6144" w:rsidRPr="009B6144" w:rsidRDefault="009B6144" w:rsidP="009B6144">
      <w:pPr>
        <w:pStyle w:val="Bibliography"/>
        <w:rPr>
          <w:rFonts w:cs="Times New Roman"/>
        </w:rPr>
      </w:pPr>
      <w:r w:rsidRPr="009B6144">
        <w:rPr>
          <w:rFonts w:cs="Times New Roman"/>
        </w:rPr>
        <w:t>[25]</w:t>
      </w:r>
      <w:r w:rsidRPr="009B6144">
        <w:rPr>
          <w:rFonts w:cs="Times New Roman"/>
        </w:rPr>
        <w:tab/>
        <w:t xml:space="preserve">H. Guo </w:t>
      </w:r>
      <w:r w:rsidRPr="009B6144">
        <w:rPr>
          <w:rFonts w:cs="Times New Roman"/>
          <w:i/>
          <w:iCs/>
        </w:rPr>
        <w:t>et al.</w:t>
      </w:r>
      <w:r w:rsidRPr="009B6144">
        <w:rPr>
          <w:rFonts w:cs="Times New Roman"/>
        </w:rPr>
        <w:t xml:space="preserve">, “Identification of Lipophagy-Related Gene Signature for Diagnosis and Risk Prediction of Alzheimer’s Disease,” </w:t>
      </w:r>
      <w:r w:rsidRPr="009B6144">
        <w:rPr>
          <w:rFonts w:cs="Times New Roman"/>
          <w:i/>
          <w:iCs/>
        </w:rPr>
        <w:t>Biomedicines</w:t>
      </w:r>
      <w:r w:rsidRPr="009B6144">
        <w:rPr>
          <w:rFonts w:cs="Times New Roman"/>
        </w:rPr>
        <w:t>, vol. 13, no. 2, p. 362, Feb. 2025, doi: 10.3390/biomedicines13020362.</w:t>
      </w:r>
    </w:p>
    <w:p w14:paraId="0D63E896" w14:textId="77777777" w:rsidR="009B6144" w:rsidRPr="009B6144" w:rsidRDefault="009B6144" w:rsidP="009B6144">
      <w:pPr>
        <w:pStyle w:val="Bibliography"/>
        <w:rPr>
          <w:rFonts w:cs="Times New Roman"/>
        </w:rPr>
      </w:pPr>
      <w:r w:rsidRPr="009B6144">
        <w:rPr>
          <w:rFonts w:cs="Times New Roman"/>
        </w:rPr>
        <w:t>[26]</w:t>
      </w:r>
      <w:r w:rsidRPr="009B6144">
        <w:rPr>
          <w:rFonts w:cs="Times New Roman"/>
        </w:rPr>
        <w:tab/>
        <w:t xml:space="preserve">M. Vinciguerra, “The Potential for Artificial Intelligence Applied to Epigenetics,” </w:t>
      </w:r>
      <w:r w:rsidRPr="009B6144">
        <w:rPr>
          <w:rFonts w:cs="Times New Roman"/>
          <w:i/>
          <w:iCs/>
        </w:rPr>
        <w:t>Mayo Clinic Proceedings: Digital Health</w:t>
      </w:r>
      <w:r w:rsidRPr="009B6144">
        <w:rPr>
          <w:rFonts w:cs="Times New Roman"/>
        </w:rPr>
        <w:t>, vol. 1, no. 4, pp. 476–479, Dec. 2023, doi: 10.1016/j.mcpdig.2023.07.005.</w:t>
      </w:r>
    </w:p>
    <w:p w14:paraId="4CDE7059" w14:textId="77777777" w:rsidR="009B6144" w:rsidRPr="009B6144" w:rsidRDefault="009B6144" w:rsidP="009B6144">
      <w:pPr>
        <w:pStyle w:val="Bibliography"/>
        <w:rPr>
          <w:rFonts w:cs="Times New Roman"/>
        </w:rPr>
      </w:pPr>
      <w:r w:rsidRPr="009B6144">
        <w:rPr>
          <w:rFonts w:cs="Times New Roman"/>
        </w:rPr>
        <w:t>[27]</w:t>
      </w:r>
      <w:r w:rsidRPr="009B6144">
        <w:rPr>
          <w:rFonts w:cs="Times New Roman"/>
        </w:rPr>
        <w:tab/>
        <w:t xml:space="preserve">Y. Huang </w:t>
      </w:r>
      <w:r w:rsidRPr="009B6144">
        <w:rPr>
          <w:rFonts w:cs="Times New Roman"/>
          <w:i/>
          <w:iCs/>
        </w:rPr>
        <w:t>et al.</w:t>
      </w:r>
      <w:r w:rsidRPr="009B6144">
        <w:rPr>
          <w:rFonts w:cs="Times New Roman"/>
        </w:rPr>
        <w:t xml:space="preserve">, “A machine learning approach to brain epigenetic analysis reveals kinases associated with Alzheimer’s disease,” </w:t>
      </w:r>
      <w:r w:rsidRPr="009B6144">
        <w:rPr>
          <w:rFonts w:cs="Times New Roman"/>
          <w:i/>
          <w:iCs/>
        </w:rPr>
        <w:t>Nat Commun</w:t>
      </w:r>
      <w:r w:rsidRPr="009B6144">
        <w:rPr>
          <w:rFonts w:cs="Times New Roman"/>
        </w:rPr>
        <w:t>, vol. 12, no. 1, p. 4472, Jul. 2021, doi: 10.1038/s41467-021-24710-8.</w:t>
      </w:r>
    </w:p>
    <w:p w14:paraId="0C88E678" w14:textId="77777777" w:rsidR="009B6144" w:rsidRPr="009B6144" w:rsidRDefault="009B6144" w:rsidP="009B6144">
      <w:pPr>
        <w:pStyle w:val="Bibliography"/>
        <w:rPr>
          <w:rFonts w:cs="Times New Roman"/>
        </w:rPr>
      </w:pPr>
      <w:r w:rsidRPr="009B6144">
        <w:rPr>
          <w:rFonts w:cs="Times New Roman"/>
        </w:rPr>
        <w:t>[28]</w:t>
      </w:r>
      <w:r w:rsidRPr="009B6144">
        <w:rPr>
          <w:rFonts w:cs="Times New Roman"/>
        </w:rPr>
        <w:tab/>
        <w:t xml:space="preserve">C. Bellenguez </w:t>
      </w:r>
      <w:r w:rsidRPr="009B6144">
        <w:rPr>
          <w:rFonts w:cs="Times New Roman"/>
          <w:i/>
          <w:iCs/>
        </w:rPr>
        <w:t>et al.</w:t>
      </w:r>
      <w:r w:rsidRPr="009B6144">
        <w:rPr>
          <w:rFonts w:cs="Times New Roman"/>
        </w:rPr>
        <w:t xml:space="preserve">, “New insights into the genetic etiology of Alzheimer’s disease and related dementias,” </w:t>
      </w:r>
      <w:r w:rsidRPr="009B6144">
        <w:rPr>
          <w:rFonts w:cs="Times New Roman"/>
          <w:i/>
          <w:iCs/>
        </w:rPr>
        <w:t>Nat Genet</w:t>
      </w:r>
      <w:r w:rsidRPr="009B6144">
        <w:rPr>
          <w:rFonts w:cs="Times New Roman"/>
        </w:rPr>
        <w:t>, vol. 54, no. 4, pp. 412–436, Apr. 2022, doi: 10.1038/s41588-022-01024-z.</w:t>
      </w:r>
    </w:p>
    <w:p w14:paraId="7AFE3ECA" w14:textId="77777777" w:rsidR="009B6144" w:rsidRPr="009B6144" w:rsidRDefault="009B6144" w:rsidP="009B6144">
      <w:pPr>
        <w:pStyle w:val="Bibliography"/>
        <w:rPr>
          <w:rFonts w:cs="Times New Roman"/>
        </w:rPr>
      </w:pPr>
      <w:r w:rsidRPr="009B6144">
        <w:rPr>
          <w:rFonts w:cs="Times New Roman"/>
        </w:rPr>
        <w:lastRenderedPageBreak/>
        <w:t>[29]</w:t>
      </w:r>
      <w:r w:rsidRPr="009B6144">
        <w:rPr>
          <w:rFonts w:cs="Times New Roman"/>
        </w:rPr>
        <w:tab/>
        <w:t xml:space="preserve">J. Zhu </w:t>
      </w:r>
      <w:r w:rsidRPr="009B6144">
        <w:rPr>
          <w:rFonts w:cs="Times New Roman"/>
          <w:i/>
          <w:iCs/>
        </w:rPr>
        <w:t>et al.</w:t>
      </w:r>
      <w:r w:rsidRPr="009B6144">
        <w:rPr>
          <w:rFonts w:cs="Times New Roman"/>
        </w:rPr>
        <w:t xml:space="preserve">, “Associations between genetically predicted plasma protein levels and Alzheimer’s disease risk: a study using genetic prediction models,” </w:t>
      </w:r>
      <w:r w:rsidRPr="009B6144">
        <w:rPr>
          <w:rFonts w:cs="Times New Roman"/>
          <w:i/>
          <w:iCs/>
        </w:rPr>
        <w:t>Alz Res Therapy</w:t>
      </w:r>
      <w:r w:rsidRPr="009B6144">
        <w:rPr>
          <w:rFonts w:cs="Times New Roman"/>
        </w:rPr>
        <w:t>, vol. 16, no. 1, p. 8, Jan. 2024, doi: 10.1186/s13195-023-01378-4.</w:t>
      </w:r>
    </w:p>
    <w:p w14:paraId="06BBCA3E" w14:textId="77777777" w:rsidR="009B6144" w:rsidRPr="009B6144" w:rsidRDefault="009B6144" w:rsidP="009B6144">
      <w:pPr>
        <w:pStyle w:val="Bibliography"/>
        <w:rPr>
          <w:rFonts w:cs="Times New Roman"/>
        </w:rPr>
      </w:pPr>
      <w:r w:rsidRPr="009B6144">
        <w:rPr>
          <w:rFonts w:cs="Times New Roman"/>
        </w:rPr>
        <w:t>[30]</w:t>
      </w:r>
      <w:r w:rsidRPr="009B6144">
        <w:rPr>
          <w:rFonts w:cs="Times New Roman"/>
        </w:rPr>
        <w:tab/>
        <w:t xml:space="preserve">S. L. Boschen, A. A. Mukerjee, A. H. Faroqi, B. E. Rabichow, and J. Fryer, “Research models to study lewy body dementia,” </w:t>
      </w:r>
      <w:r w:rsidRPr="009B6144">
        <w:rPr>
          <w:rFonts w:cs="Times New Roman"/>
          <w:i/>
          <w:iCs/>
        </w:rPr>
        <w:t>Mol Neurodegeneration</w:t>
      </w:r>
      <w:r w:rsidRPr="009B6144">
        <w:rPr>
          <w:rFonts w:cs="Times New Roman"/>
        </w:rPr>
        <w:t>, vol. 20, no. 1, p. 46, Apr. 2025, doi: 10.1186/s13024-025-00837-w.</w:t>
      </w:r>
    </w:p>
    <w:p w14:paraId="6D4A4D90" w14:textId="77777777" w:rsidR="009B6144" w:rsidRPr="009B6144" w:rsidRDefault="009B6144" w:rsidP="009B6144">
      <w:pPr>
        <w:pStyle w:val="Bibliography"/>
        <w:rPr>
          <w:rFonts w:cs="Times New Roman"/>
        </w:rPr>
      </w:pPr>
      <w:r w:rsidRPr="009B6144">
        <w:rPr>
          <w:rFonts w:cs="Times New Roman"/>
        </w:rPr>
        <w:t>[31]</w:t>
      </w:r>
      <w:r w:rsidRPr="009B6144">
        <w:rPr>
          <w:rFonts w:cs="Times New Roman"/>
        </w:rPr>
        <w:tab/>
        <w:t xml:space="preserve">S. Khastehband </w:t>
      </w:r>
      <w:r w:rsidRPr="009B6144">
        <w:rPr>
          <w:rFonts w:cs="Times New Roman"/>
          <w:i/>
          <w:iCs/>
        </w:rPr>
        <w:t>et al.</w:t>
      </w:r>
      <w:r w:rsidRPr="009B6144">
        <w:rPr>
          <w:rFonts w:cs="Times New Roman"/>
        </w:rPr>
        <w:t xml:space="preserve">, “The Use of Artificial Intelligence in the Management of Neurodegenerative Disorders; Focus on Alzheimer’s Disease:,” </w:t>
      </w:r>
      <w:r w:rsidRPr="009B6144">
        <w:rPr>
          <w:rFonts w:cs="Times New Roman"/>
          <w:i/>
          <w:iCs/>
        </w:rPr>
        <w:t>GMJ</w:t>
      </w:r>
      <w:r w:rsidRPr="009B6144">
        <w:rPr>
          <w:rFonts w:cs="Times New Roman"/>
        </w:rPr>
        <w:t>, vol. 12, Sep. 2023, doi: 10.31661/gmj.v12i.3061.</w:t>
      </w:r>
    </w:p>
    <w:p w14:paraId="568E917C" w14:textId="77777777" w:rsidR="009B6144" w:rsidRPr="009B6144" w:rsidRDefault="009B6144" w:rsidP="009B6144">
      <w:pPr>
        <w:pStyle w:val="Bibliography"/>
        <w:rPr>
          <w:rFonts w:cs="Times New Roman"/>
        </w:rPr>
      </w:pPr>
      <w:r w:rsidRPr="009B6144">
        <w:rPr>
          <w:rFonts w:cs="Times New Roman"/>
        </w:rPr>
        <w:t>[32]</w:t>
      </w:r>
      <w:r w:rsidRPr="009B6144">
        <w:rPr>
          <w:rFonts w:cs="Times New Roman"/>
        </w:rPr>
        <w:tab/>
        <w:t xml:space="preserve">S. Mirkin and B. C. Albensi, “Should artificial intelligence be used in conjunction with Neuroimaging in the diagnosis of Alzheimer’s disease?,” </w:t>
      </w:r>
      <w:r w:rsidRPr="009B6144">
        <w:rPr>
          <w:rFonts w:cs="Times New Roman"/>
          <w:i/>
          <w:iCs/>
        </w:rPr>
        <w:t>Front. Aging Neurosci.</w:t>
      </w:r>
      <w:r w:rsidRPr="009B6144">
        <w:rPr>
          <w:rFonts w:cs="Times New Roman"/>
        </w:rPr>
        <w:t>, vol. 15, p. 1094233, Apr. 2023, doi: 10.3389/fnagi.2023.1094233.</w:t>
      </w:r>
    </w:p>
    <w:p w14:paraId="36702BC6" w14:textId="77777777" w:rsidR="009B6144" w:rsidRPr="009B6144" w:rsidRDefault="009B6144" w:rsidP="009B6144">
      <w:pPr>
        <w:pStyle w:val="Bibliography"/>
        <w:rPr>
          <w:rFonts w:cs="Times New Roman"/>
        </w:rPr>
      </w:pPr>
      <w:r w:rsidRPr="009B6144">
        <w:rPr>
          <w:rFonts w:cs="Times New Roman"/>
        </w:rPr>
        <w:t>[33]</w:t>
      </w:r>
      <w:r w:rsidRPr="009B6144">
        <w:rPr>
          <w:rFonts w:cs="Times New Roman"/>
        </w:rPr>
        <w:tab/>
        <w:t xml:space="preserve">the Alzheimer’s Disease Neuroimaging Initiative </w:t>
      </w:r>
      <w:r w:rsidRPr="009B6144">
        <w:rPr>
          <w:rFonts w:cs="Times New Roman"/>
          <w:i/>
          <w:iCs/>
        </w:rPr>
        <w:t>et al.</w:t>
      </w:r>
      <w:r w:rsidRPr="009B6144">
        <w:rPr>
          <w:rFonts w:cs="Times New Roman"/>
        </w:rPr>
        <w:t xml:space="preserve">, “Machine Learning Based Multimodal Neuroimaging Genomics Dementia Score for Predicting Future Conversion to Alzheimer’s Disease,” </w:t>
      </w:r>
      <w:r w:rsidRPr="009B6144">
        <w:rPr>
          <w:rFonts w:cs="Times New Roman"/>
          <w:i/>
          <w:iCs/>
        </w:rPr>
        <w:t>JAD</w:t>
      </w:r>
      <w:r w:rsidRPr="009B6144">
        <w:rPr>
          <w:rFonts w:cs="Times New Roman"/>
        </w:rPr>
        <w:t>, vol. 87, no. 3, pp. 1345–1365, May 2022, doi: 10.3233/JAD-220021.</w:t>
      </w:r>
    </w:p>
    <w:p w14:paraId="084C09B9" w14:textId="77777777" w:rsidR="009B6144" w:rsidRPr="009B6144" w:rsidRDefault="009B6144" w:rsidP="009B6144">
      <w:pPr>
        <w:pStyle w:val="Bibliography"/>
        <w:rPr>
          <w:rFonts w:cs="Times New Roman"/>
        </w:rPr>
      </w:pPr>
      <w:r w:rsidRPr="009B6144">
        <w:rPr>
          <w:rFonts w:cs="Times New Roman"/>
        </w:rPr>
        <w:t>[34]</w:t>
      </w:r>
      <w:r w:rsidRPr="009B6144">
        <w:rPr>
          <w:rFonts w:cs="Times New Roman"/>
        </w:rPr>
        <w:tab/>
        <w:t xml:space="preserve">E. El Abiad, A. Al-Kuwari, U. Al-Aani, Y. Al Jaidah, and A. Chaari, “Navigating the Alzheimer’s Biomarker Landscape: A Comprehensive Analysis of Fluid-Based Diagnostics,” </w:t>
      </w:r>
      <w:r w:rsidRPr="009B6144">
        <w:rPr>
          <w:rFonts w:cs="Times New Roman"/>
          <w:i/>
          <w:iCs/>
        </w:rPr>
        <w:t>Cells</w:t>
      </w:r>
      <w:r w:rsidRPr="009B6144">
        <w:rPr>
          <w:rFonts w:cs="Times New Roman"/>
        </w:rPr>
        <w:t>, vol. 13, no. 22, p. 1901, Nov. 2024, doi: 10.3390/cells13221901.</w:t>
      </w:r>
    </w:p>
    <w:p w14:paraId="681DB9EC" w14:textId="77777777" w:rsidR="009B6144" w:rsidRPr="009B6144" w:rsidRDefault="009B6144" w:rsidP="009B6144">
      <w:pPr>
        <w:pStyle w:val="Bibliography"/>
        <w:rPr>
          <w:rFonts w:cs="Times New Roman"/>
        </w:rPr>
      </w:pPr>
      <w:r w:rsidRPr="009B6144">
        <w:rPr>
          <w:rFonts w:cs="Times New Roman"/>
        </w:rPr>
        <w:t>[35]</w:t>
      </w:r>
      <w:r w:rsidRPr="009B6144">
        <w:rPr>
          <w:rFonts w:cs="Times New Roman"/>
        </w:rPr>
        <w:tab/>
        <w:t xml:space="preserve">H. J. Tricás-Vidal, M. O. Lucha-López, C. Hidalgo-García, M. C. Vidal-Peracho, S. Monti-Ballano, and J. M. Tricás-Moreno, “Health Habits and Wearable Activity Tracker Devices: Analytical Cross-Sectional Study,” </w:t>
      </w:r>
      <w:r w:rsidRPr="009B6144">
        <w:rPr>
          <w:rFonts w:cs="Times New Roman"/>
          <w:i/>
          <w:iCs/>
        </w:rPr>
        <w:t>Sensors</w:t>
      </w:r>
      <w:r w:rsidRPr="009B6144">
        <w:rPr>
          <w:rFonts w:cs="Times New Roman"/>
        </w:rPr>
        <w:t>, vol. 22, no. 8, p. 2960, Apr. 2022, doi: 10.3390/s22082960.</w:t>
      </w:r>
    </w:p>
    <w:p w14:paraId="57728A05" w14:textId="77777777" w:rsidR="009B6144" w:rsidRPr="009B6144" w:rsidRDefault="009B6144" w:rsidP="009B6144">
      <w:pPr>
        <w:pStyle w:val="Bibliography"/>
        <w:rPr>
          <w:rFonts w:cs="Times New Roman"/>
        </w:rPr>
      </w:pPr>
      <w:r w:rsidRPr="009B6144">
        <w:rPr>
          <w:rFonts w:cs="Times New Roman"/>
        </w:rPr>
        <w:t>[36]</w:t>
      </w:r>
      <w:r w:rsidRPr="009B6144">
        <w:rPr>
          <w:rFonts w:cs="Times New Roman"/>
        </w:rPr>
        <w:tab/>
        <w:t xml:space="preserve">J. A. Yoon </w:t>
      </w:r>
      <w:r w:rsidRPr="009B6144">
        <w:rPr>
          <w:rFonts w:cs="Times New Roman"/>
          <w:i/>
          <w:iCs/>
        </w:rPr>
        <w:t>et al.</w:t>
      </w:r>
      <w:r w:rsidRPr="009B6144">
        <w:rPr>
          <w:rFonts w:cs="Times New Roman"/>
        </w:rPr>
        <w:t xml:space="preserve">, “Correlation between cerebral hemodynamic functional near-infrared spectroscopy and positron emission tomography for assessing mild cognitive impairment and Alzheimer’s disease: An exploratory study,” </w:t>
      </w:r>
      <w:r w:rsidRPr="009B6144">
        <w:rPr>
          <w:rFonts w:cs="Times New Roman"/>
          <w:i/>
          <w:iCs/>
        </w:rPr>
        <w:t>PLoS ONE</w:t>
      </w:r>
      <w:r w:rsidRPr="009B6144">
        <w:rPr>
          <w:rFonts w:cs="Times New Roman"/>
        </w:rPr>
        <w:t>, vol. 18, no. 8, p. e0285013, Aug. 2023, doi: 10.1371/journal.pone.0285013.</w:t>
      </w:r>
    </w:p>
    <w:p w14:paraId="6025C23F" w14:textId="77777777" w:rsidR="009B6144" w:rsidRPr="009B6144" w:rsidRDefault="009B6144" w:rsidP="009B6144">
      <w:pPr>
        <w:pStyle w:val="Bibliography"/>
        <w:rPr>
          <w:rFonts w:cs="Times New Roman"/>
        </w:rPr>
      </w:pPr>
      <w:r w:rsidRPr="009B6144">
        <w:rPr>
          <w:rFonts w:cs="Times New Roman"/>
        </w:rPr>
        <w:t>[37]</w:t>
      </w:r>
      <w:r w:rsidRPr="009B6144">
        <w:rPr>
          <w:rFonts w:cs="Times New Roman"/>
        </w:rPr>
        <w:tab/>
        <w:t xml:space="preserve">I. Malik, A. Iqbal, Y. H. Gu, and M. A. Al-antari, “Deep Learning for Alzheimer’s Disease Prediction: A Comprehensive Review,” </w:t>
      </w:r>
      <w:r w:rsidRPr="009B6144">
        <w:rPr>
          <w:rFonts w:cs="Times New Roman"/>
          <w:i/>
          <w:iCs/>
        </w:rPr>
        <w:t>Diagnostics</w:t>
      </w:r>
      <w:r w:rsidRPr="009B6144">
        <w:rPr>
          <w:rFonts w:cs="Times New Roman"/>
        </w:rPr>
        <w:t>, vol. 14, no. 12, p. 1281, Jun. 2024, doi: 10.3390/diagnostics14121281.</w:t>
      </w:r>
    </w:p>
    <w:p w14:paraId="2399E253" w14:textId="77777777" w:rsidR="009B6144" w:rsidRPr="009B6144" w:rsidRDefault="009B6144" w:rsidP="009B6144">
      <w:pPr>
        <w:pStyle w:val="Bibliography"/>
        <w:rPr>
          <w:rFonts w:cs="Times New Roman"/>
        </w:rPr>
      </w:pPr>
      <w:r w:rsidRPr="009B6144">
        <w:rPr>
          <w:rFonts w:cs="Times New Roman"/>
        </w:rPr>
        <w:t>[38]</w:t>
      </w:r>
      <w:r w:rsidRPr="009B6144">
        <w:rPr>
          <w:rFonts w:cs="Times New Roman"/>
        </w:rPr>
        <w:tab/>
        <w:t xml:space="preserve">M. L. Raza </w:t>
      </w:r>
      <w:r w:rsidRPr="009B6144">
        <w:rPr>
          <w:rFonts w:cs="Times New Roman"/>
          <w:i/>
          <w:iCs/>
        </w:rPr>
        <w:t>et al.</w:t>
      </w:r>
      <w:r w:rsidRPr="009B6144">
        <w:rPr>
          <w:rFonts w:cs="Times New Roman"/>
        </w:rPr>
        <w:t xml:space="preserve">, “Advancements in deep learning for early diagnosis of Alzheimer’s disease using multimodal neuroimaging: challenges and future directions,” </w:t>
      </w:r>
      <w:r w:rsidRPr="009B6144">
        <w:rPr>
          <w:rFonts w:cs="Times New Roman"/>
          <w:i/>
          <w:iCs/>
        </w:rPr>
        <w:t>Front. Neuroinform.</w:t>
      </w:r>
      <w:r w:rsidRPr="009B6144">
        <w:rPr>
          <w:rFonts w:cs="Times New Roman"/>
        </w:rPr>
        <w:t>, vol. 19, p. 1557177, May 2025, doi: 10.3389/fninf.2025.1557177.</w:t>
      </w:r>
    </w:p>
    <w:p w14:paraId="618C5228" w14:textId="77777777" w:rsidR="009B6144" w:rsidRPr="009B6144" w:rsidRDefault="009B6144" w:rsidP="009B6144">
      <w:pPr>
        <w:pStyle w:val="Bibliography"/>
        <w:rPr>
          <w:rFonts w:cs="Times New Roman"/>
        </w:rPr>
      </w:pPr>
      <w:r w:rsidRPr="009B6144">
        <w:rPr>
          <w:rFonts w:cs="Times New Roman"/>
        </w:rPr>
        <w:t>[39]</w:t>
      </w:r>
      <w:r w:rsidRPr="009B6144">
        <w:rPr>
          <w:rFonts w:cs="Times New Roman"/>
        </w:rPr>
        <w:tab/>
        <w:t xml:space="preserve">R. S. Desikan </w:t>
      </w:r>
      <w:r w:rsidRPr="009B6144">
        <w:rPr>
          <w:rFonts w:cs="Times New Roman"/>
          <w:i/>
          <w:iCs/>
        </w:rPr>
        <w:t>et al.</w:t>
      </w:r>
      <w:r w:rsidRPr="009B6144">
        <w:rPr>
          <w:rFonts w:cs="Times New Roman"/>
        </w:rPr>
        <w:t>, “Personalized genetic assessment of age associated Alzheimer’s disease risk,” Sep. 13, 2016. doi: 10.1101/074864.</w:t>
      </w:r>
    </w:p>
    <w:p w14:paraId="5F38B7B9" w14:textId="77777777" w:rsidR="009B6144" w:rsidRPr="009B6144" w:rsidRDefault="009B6144" w:rsidP="009B6144">
      <w:pPr>
        <w:pStyle w:val="Bibliography"/>
        <w:rPr>
          <w:rFonts w:cs="Times New Roman"/>
        </w:rPr>
      </w:pPr>
      <w:r w:rsidRPr="009B6144">
        <w:rPr>
          <w:rFonts w:cs="Times New Roman"/>
        </w:rPr>
        <w:t>[40]</w:t>
      </w:r>
      <w:r w:rsidRPr="009B6144">
        <w:rPr>
          <w:rFonts w:cs="Times New Roman"/>
        </w:rPr>
        <w:tab/>
        <w:t xml:space="preserve">M. Cardillo, K. Katam, and P. Suravajhala, “Advancements in multi-omics research to address challenges in Alzheimer’s disease: a systems biology approach utilizing molecular biomarkers and innovative strategies,” </w:t>
      </w:r>
      <w:r w:rsidRPr="009B6144">
        <w:rPr>
          <w:rFonts w:cs="Times New Roman"/>
          <w:i/>
          <w:iCs/>
        </w:rPr>
        <w:t>Front. Aging Neurosci.</w:t>
      </w:r>
      <w:r w:rsidRPr="009B6144">
        <w:rPr>
          <w:rFonts w:cs="Times New Roman"/>
        </w:rPr>
        <w:t>, vol. 17, p. 1591796, Jul. 2025, doi: 10.3389/fnagi.2025.1591796.</w:t>
      </w:r>
    </w:p>
    <w:p w14:paraId="1DED2354" w14:textId="77777777" w:rsidR="009B6144" w:rsidRPr="009B6144" w:rsidRDefault="009B6144" w:rsidP="009B6144">
      <w:pPr>
        <w:pStyle w:val="Bibliography"/>
        <w:rPr>
          <w:rFonts w:cs="Times New Roman"/>
        </w:rPr>
      </w:pPr>
      <w:r w:rsidRPr="009B6144">
        <w:rPr>
          <w:rFonts w:cs="Times New Roman"/>
        </w:rPr>
        <w:t>[41]</w:t>
      </w:r>
      <w:r w:rsidRPr="009B6144">
        <w:rPr>
          <w:rFonts w:cs="Times New Roman"/>
        </w:rPr>
        <w:tab/>
        <w:t xml:space="preserve">T. Azevedo </w:t>
      </w:r>
      <w:r w:rsidRPr="009B6144">
        <w:rPr>
          <w:rFonts w:cs="Times New Roman"/>
          <w:i/>
          <w:iCs/>
        </w:rPr>
        <w:t>et al.</w:t>
      </w:r>
      <w:r w:rsidRPr="009B6144">
        <w:rPr>
          <w:rFonts w:cs="Times New Roman"/>
        </w:rPr>
        <w:t>, “Identifying healthy individuals with Alzheimer neuroimaging phenotypes in the UK Biobank,” Jan. 10, 2022. doi: 10.1101/2022.01.05.22268795.</w:t>
      </w:r>
    </w:p>
    <w:p w14:paraId="2D710F4E" w14:textId="77777777" w:rsidR="009B6144" w:rsidRPr="009B6144" w:rsidRDefault="009B6144" w:rsidP="009B6144">
      <w:pPr>
        <w:pStyle w:val="Bibliography"/>
        <w:rPr>
          <w:rFonts w:cs="Times New Roman"/>
        </w:rPr>
      </w:pPr>
      <w:r w:rsidRPr="009B6144">
        <w:rPr>
          <w:rFonts w:cs="Times New Roman"/>
        </w:rPr>
        <w:t>[42]</w:t>
      </w:r>
      <w:r w:rsidRPr="009B6144">
        <w:rPr>
          <w:rFonts w:cs="Times New Roman"/>
        </w:rPr>
        <w:tab/>
        <w:t xml:space="preserve">C. Bettencourt </w:t>
      </w:r>
      <w:r w:rsidRPr="009B6144">
        <w:rPr>
          <w:rFonts w:cs="Times New Roman"/>
          <w:i/>
          <w:iCs/>
        </w:rPr>
        <w:t>et al.</w:t>
      </w:r>
      <w:r w:rsidRPr="009B6144">
        <w:rPr>
          <w:rFonts w:cs="Times New Roman"/>
        </w:rPr>
        <w:t xml:space="preserve">, “Artificial intelligence for dementia genetics and omics,” </w:t>
      </w:r>
      <w:r w:rsidRPr="009B6144">
        <w:rPr>
          <w:rFonts w:cs="Times New Roman"/>
          <w:i/>
          <w:iCs/>
        </w:rPr>
        <w:t>Alzheimer’s &amp;amp; Dementia</w:t>
      </w:r>
      <w:r w:rsidRPr="009B6144">
        <w:rPr>
          <w:rFonts w:cs="Times New Roman"/>
        </w:rPr>
        <w:t>, vol. 19, no. 12, pp. 5905–5921, Dec. 2023, doi: 10.1002/alz.13427.</w:t>
      </w:r>
    </w:p>
    <w:p w14:paraId="53566502" w14:textId="6B54DB6B" w:rsidR="0089336D" w:rsidRPr="0089336D" w:rsidRDefault="0089336D" w:rsidP="0089336D">
      <w:r>
        <w:fldChar w:fldCharType="end"/>
      </w:r>
      <w:bookmarkEnd w:id="1"/>
    </w:p>
    <w:sectPr w:rsidR="0089336D" w:rsidRPr="00893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1C3A38"/>
    <w:multiLevelType w:val="hybridMultilevel"/>
    <w:tmpl w:val="74A0BC14"/>
    <w:lvl w:ilvl="0" w:tplc="CB3A220A">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AB007E"/>
    <w:multiLevelType w:val="hybridMultilevel"/>
    <w:tmpl w:val="08FAC656"/>
    <w:lvl w:ilvl="0" w:tplc="D7100C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1C7D3F"/>
    <w:multiLevelType w:val="hybridMultilevel"/>
    <w:tmpl w:val="6136E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2001521">
    <w:abstractNumId w:val="1"/>
  </w:num>
  <w:num w:numId="2" w16cid:durableId="1273510406">
    <w:abstractNumId w:val="2"/>
  </w:num>
  <w:num w:numId="3" w16cid:durableId="387455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F0F"/>
    <w:rsid w:val="00071A84"/>
    <w:rsid w:val="000B1527"/>
    <w:rsid w:val="000D797D"/>
    <w:rsid w:val="000F4837"/>
    <w:rsid w:val="001004B7"/>
    <w:rsid w:val="00107F0F"/>
    <w:rsid w:val="00146F7E"/>
    <w:rsid w:val="001A4909"/>
    <w:rsid w:val="0024618F"/>
    <w:rsid w:val="00303139"/>
    <w:rsid w:val="003938C9"/>
    <w:rsid w:val="003A63CD"/>
    <w:rsid w:val="003C3E7C"/>
    <w:rsid w:val="003F0C24"/>
    <w:rsid w:val="0045364E"/>
    <w:rsid w:val="00493316"/>
    <w:rsid w:val="004A2EDA"/>
    <w:rsid w:val="004E30C4"/>
    <w:rsid w:val="004F12DC"/>
    <w:rsid w:val="00553E75"/>
    <w:rsid w:val="005E61C2"/>
    <w:rsid w:val="006011BA"/>
    <w:rsid w:val="0065378F"/>
    <w:rsid w:val="00687748"/>
    <w:rsid w:val="006F6572"/>
    <w:rsid w:val="0076367E"/>
    <w:rsid w:val="00776720"/>
    <w:rsid w:val="00780FEB"/>
    <w:rsid w:val="007B4A2B"/>
    <w:rsid w:val="00845EF2"/>
    <w:rsid w:val="00852243"/>
    <w:rsid w:val="00872960"/>
    <w:rsid w:val="00875237"/>
    <w:rsid w:val="0089336D"/>
    <w:rsid w:val="008E713D"/>
    <w:rsid w:val="00924115"/>
    <w:rsid w:val="00936C16"/>
    <w:rsid w:val="009508B2"/>
    <w:rsid w:val="0097063B"/>
    <w:rsid w:val="00981B01"/>
    <w:rsid w:val="009931B9"/>
    <w:rsid w:val="009A33A7"/>
    <w:rsid w:val="009B6144"/>
    <w:rsid w:val="009C428B"/>
    <w:rsid w:val="00A84FA1"/>
    <w:rsid w:val="00A860C6"/>
    <w:rsid w:val="00AB1CBE"/>
    <w:rsid w:val="00AD0BAD"/>
    <w:rsid w:val="00AF34B4"/>
    <w:rsid w:val="00B02919"/>
    <w:rsid w:val="00B25ADE"/>
    <w:rsid w:val="00B63EC3"/>
    <w:rsid w:val="00B66497"/>
    <w:rsid w:val="00BB2A7B"/>
    <w:rsid w:val="00C24699"/>
    <w:rsid w:val="00C66A1C"/>
    <w:rsid w:val="00C957FF"/>
    <w:rsid w:val="00CA0AAC"/>
    <w:rsid w:val="00CF1B46"/>
    <w:rsid w:val="00D677A9"/>
    <w:rsid w:val="00D7760C"/>
    <w:rsid w:val="00D934CF"/>
    <w:rsid w:val="00E058EF"/>
    <w:rsid w:val="00E27A9A"/>
    <w:rsid w:val="00E81B60"/>
    <w:rsid w:val="00EC6A05"/>
    <w:rsid w:val="00F327C0"/>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8F7CF"/>
  <w15:chartTrackingRefBased/>
  <w15:docId w15:val="{E7047B78-9255-4CEE-9E41-53E7454B5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DA"/>
    <w:pPr>
      <w:spacing w:after="120" w:line="360" w:lineRule="auto"/>
      <w:jc w:val="both"/>
    </w:pPr>
    <w:rPr>
      <w:rFonts w:ascii="Times New Roman" w:hAnsi="Times New Roman"/>
    </w:rPr>
  </w:style>
  <w:style w:type="paragraph" w:styleId="Heading10">
    <w:name w:val="heading 1"/>
    <w:basedOn w:val="Normal"/>
    <w:next w:val="Normal"/>
    <w:link w:val="Heading1Char"/>
    <w:uiPriority w:val="9"/>
    <w:qFormat/>
    <w:rsid w:val="00107F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7F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7F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7F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7F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7F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7F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7F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7F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107F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7F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7F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7F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7F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7F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7F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7F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7F0F"/>
    <w:rPr>
      <w:rFonts w:eastAsiaTheme="majorEastAsia" w:cstheme="majorBidi"/>
      <w:color w:val="272727" w:themeColor="text1" w:themeTint="D8"/>
    </w:rPr>
  </w:style>
  <w:style w:type="paragraph" w:styleId="Title">
    <w:name w:val="Title"/>
    <w:basedOn w:val="Normal"/>
    <w:next w:val="Normal"/>
    <w:link w:val="TitleChar"/>
    <w:uiPriority w:val="10"/>
    <w:qFormat/>
    <w:rsid w:val="00107F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7F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7F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7F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7F0F"/>
    <w:pPr>
      <w:spacing w:before="160"/>
      <w:jc w:val="center"/>
    </w:pPr>
    <w:rPr>
      <w:i/>
      <w:iCs/>
      <w:color w:val="404040" w:themeColor="text1" w:themeTint="BF"/>
    </w:rPr>
  </w:style>
  <w:style w:type="character" w:customStyle="1" w:styleId="QuoteChar">
    <w:name w:val="Quote Char"/>
    <w:basedOn w:val="DefaultParagraphFont"/>
    <w:link w:val="Quote"/>
    <w:uiPriority w:val="29"/>
    <w:rsid w:val="00107F0F"/>
    <w:rPr>
      <w:i/>
      <w:iCs/>
      <w:color w:val="404040" w:themeColor="text1" w:themeTint="BF"/>
    </w:rPr>
  </w:style>
  <w:style w:type="paragraph" w:styleId="ListParagraph">
    <w:name w:val="List Paragraph"/>
    <w:basedOn w:val="Normal"/>
    <w:uiPriority w:val="34"/>
    <w:qFormat/>
    <w:rsid w:val="00107F0F"/>
    <w:pPr>
      <w:ind w:left="720"/>
      <w:contextualSpacing/>
    </w:pPr>
  </w:style>
  <w:style w:type="character" w:styleId="IntenseEmphasis">
    <w:name w:val="Intense Emphasis"/>
    <w:basedOn w:val="DefaultParagraphFont"/>
    <w:uiPriority w:val="21"/>
    <w:qFormat/>
    <w:rsid w:val="00107F0F"/>
    <w:rPr>
      <w:i/>
      <w:iCs/>
      <w:color w:val="0F4761" w:themeColor="accent1" w:themeShade="BF"/>
    </w:rPr>
  </w:style>
  <w:style w:type="paragraph" w:styleId="IntenseQuote">
    <w:name w:val="Intense Quote"/>
    <w:basedOn w:val="Normal"/>
    <w:next w:val="Normal"/>
    <w:link w:val="IntenseQuoteChar"/>
    <w:uiPriority w:val="30"/>
    <w:qFormat/>
    <w:rsid w:val="00107F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7F0F"/>
    <w:rPr>
      <w:i/>
      <w:iCs/>
      <w:color w:val="0F4761" w:themeColor="accent1" w:themeShade="BF"/>
    </w:rPr>
  </w:style>
  <w:style w:type="character" w:styleId="IntenseReference">
    <w:name w:val="Intense Reference"/>
    <w:basedOn w:val="DefaultParagraphFont"/>
    <w:uiPriority w:val="32"/>
    <w:qFormat/>
    <w:rsid w:val="00107F0F"/>
    <w:rPr>
      <w:b/>
      <w:bCs/>
      <w:smallCaps/>
      <w:color w:val="0F4761" w:themeColor="accent1" w:themeShade="BF"/>
      <w:spacing w:val="5"/>
    </w:rPr>
  </w:style>
  <w:style w:type="character" w:styleId="Hyperlink">
    <w:name w:val="Hyperlink"/>
    <w:basedOn w:val="DefaultParagraphFont"/>
    <w:uiPriority w:val="99"/>
    <w:unhideWhenUsed/>
    <w:rsid w:val="00875237"/>
    <w:rPr>
      <w:color w:val="467886" w:themeColor="hyperlink"/>
      <w:u w:val="single"/>
    </w:rPr>
  </w:style>
  <w:style w:type="character" w:styleId="UnresolvedMention">
    <w:name w:val="Unresolved Mention"/>
    <w:basedOn w:val="DefaultParagraphFont"/>
    <w:uiPriority w:val="99"/>
    <w:semiHidden/>
    <w:unhideWhenUsed/>
    <w:rsid w:val="00875237"/>
    <w:rPr>
      <w:color w:val="605E5C"/>
      <w:shd w:val="clear" w:color="auto" w:fill="E1DFDD"/>
    </w:rPr>
  </w:style>
  <w:style w:type="paragraph" w:styleId="NoSpacing">
    <w:name w:val="No Spacing"/>
    <w:uiPriority w:val="1"/>
    <w:qFormat/>
    <w:rsid w:val="0076367E"/>
    <w:pPr>
      <w:spacing w:after="0" w:line="240" w:lineRule="auto"/>
      <w:jc w:val="both"/>
    </w:pPr>
    <w:rPr>
      <w:rFonts w:ascii="Times New Roman" w:hAnsi="Times New Roman"/>
    </w:rPr>
  </w:style>
  <w:style w:type="paragraph" w:customStyle="1" w:styleId="Paragraph">
    <w:name w:val="Paragraph"/>
    <w:basedOn w:val="Normal"/>
    <w:link w:val="ParagraphChar"/>
    <w:qFormat/>
    <w:rsid w:val="00872960"/>
    <w:pPr>
      <w:ind w:firstLine="288"/>
    </w:pPr>
  </w:style>
  <w:style w:type="character" w:customStyle="1" w:styleId="ParagraphChar">
    <w:name w:val="Paragraph Char"/>
    <w:basedOn w:val="DefaultParagraphFont"/>
    <w:link w:val="Paragraph"/>
    <w:rsid w:val="00872960"/>
    <w:rPr>
      <w:rFonts w:ascii="Times New Roman" w:hAnsi="Times New Roman"/>
    </w:rPr>
  </w:style>
  <w:style w:type="paragraph" w:customStyle="1" w:styleId="Heading1">
    <w:name w:val="Heading1"/>
    <w:basedOn w:val="Heading10"/>
    <w:next w:val="Heading10"/>
    <w:link w:val="Heading1Char0"/>
    <w:qFormat/>
    <w:rsid w:val="0076367E"/>
    <w:pPr>
      <w:numPr>
        <w:numId w:val="3"/>
      </w:numPr>
      <w:spacing w:before="240" w:after="120"/>
      <w:ind w:left="360"/>
      <w:jc w:val="left"/>
    </w:pPr>
    <w:rPr>
      <w:rFonts w:ascii="Times New Roman" w:hAnsi="Times New Roman"/>
      <w:b/>
      <w:color w:val="auto"/>
      <w:sz w:val="32"/>
    </w:rPr>
  </w:style>
  <w:style w:type="character" w:customStyle="1" w:styleId="Heading1Char0">
    <w:name w:val="Heading1 Char"/>
    <w:basedOn w:val="ParagraphChar"/>
    <w:link w:val="Heading1"/>
    <w:rsid w:val="0076367E"/>
    <w:rPr>
      <w:rFonts w:ascii="Times New Roman" w:eastAsiaTheme="majorEastAsia" w:hAnsi="Times New Roman" w:cstheme="majorBidi"/>
      <w:b/>
      <w:sz w:val="32"/>
      <w:szCs w:val="40"/>
    </w:rPr>
  </w:style>
  <w:style w:type="paragraph" w:styleId="Bibliography">
    <w:name w:val="Bibliography"/>
    <w:basedOn w:val="Normal"/>
    <w:next w:val="Normal"/>
    <w:uiPriority w:val="37"/>
    <w:unhideWhenUsed/>
    <w:rsid w:val="0089336D"/>
    <w:pPr>
      <w:tabs>
        <w:tab w:val="left" w:pos="384"/>
      </w:tabs>
      <w:spacing w:after="0" w:line="240" w:lineRule="auto"/>
      <w:ind w:left="384" w:hanging="384"/>
    </w:pPr>
  </w:style>
  <w:style w:type="table" w:styleId="TableGrid">
    <w:name w:val="Table Grid"/>
    <w:basedOn w:val="TableNormal"/>
    <w:uiPriority w:val="39"/>
    <w:rsid w:val="00C24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246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246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
    <w:name w:val="List Table 4"/>
    <w:basedOn w:val="TableNormal"/>
    <w:uiPriority w:val="49"/>
    <w:rsid w:val="00B25AD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
    <w:name w:val="List Table 6 Colorful"/>
    <w:basedOn w:val="TableNormal"/>
    <w:uiPriority w:val="51"/>
    <w:rsid w:val="00B25AD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eading20">
    <w:name w:val="Heading2"/>
    <w:basedOn w:val="Subtitle"/>
    <w:link w:val="Heading2Char0"/>
    <w:qFormat/>
    <w:rsid w:val="005E61C2"/>
    <w:pPr>
      <w:spacing w:before="240" w:after="100" w:afterAutospacing="1"/>
    </w:pPr>
    <w:rPr>
      <w:b/>
      <w:color w:val="auto"/>
    </w:rPr>
  </w:style>
  <w:style w:type="character" w:customStyle="1" w:styleId="Heading2Char0">
    <w:name w:val="Heading2 Char"/>
    <w:basedOn w:val="SubtitleChar"/>
    <w:link w:val="Heading20"/>
    <w:rsid w:val="005E61C2"/>
    <w:rPr>
      <w:rFonts w:ascii="Times New Roman" w:eastAsiaTheme="majorEastAsia" w:hAnsi="Times New Roman" w:cstheme="majorBidi"/>
      <w:b/>
      <w:color w:val="595959" w:themeColor="text1" w:themeTint="A6"/>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9053">
      <w:marLeft w:val="0"/>
      <w:marRight w:val="0"/>
      <w:marTop w:val="0"/>
      <w:marBottom w:val="0"/>
      <w:divBdr>
        <w:top w:val="none" w:sz="0" w:space="0" w:color="auto"/>
        <w:left w:val="none" w:sz="0" w:space="0" w:color="auto"/>
        <w:bottom w:val="none" w:sz="0" w:space="0" w:color="auto"/>
        <w:right w:val="none" w:sz="0" w:space="0" w:color="auto"/>
      </w:divBdr>
    </w:div>
    <w:div w:id="20934681">
      <w:marLeft w:val="0"/>
      <w:marRight w:val="0"/>
      <w:marTop w:val="0"/>
      <w:marBottom w:val="0"/>
      <w:divBdr>
        <w:top w:val="none" w:sz="0" w:space="0" w:color="auto"/>
        <w:left w:val="none" w:sz="0" w:space="0" w:color="auto"/>
        <w:bottom w:val="none" w:sz="0" w:space="0" w:color="auto"/>
        <w:right w:val="none" w:sz="0" w:space="0" w:color="auto"/>
      </w:divBdr>
      <w:divsChild>
        <w:div w:id="1079786290">
          <w:marLeft w:val="0"/>
          <w:marRight w:val="0"/>
          <w:marTop w:val="0"/>
          <w:marBottom w:val="0"/>
          <w:divBdr>
            <w:top w:val="none" w:sz="0" w:space="0" w:color="auto"/>
            <w:left w:val="none" w:sz="0" w:space="0" w:color="auto"/>
            <w:bottom w:val="none" w:sz="0" w:space="0" w:color="auto"/>
            <w:right w:val="none" w:sz="0" w:space="0" w:color="auto"/>
          </w:divBdr>
          <w:divsChild>
            <w:div w:id="1262571570">
              <w:marLeft w:val="0"/>
              <w:marRight w:val="0"/>
              <w:marTop w:val="0"/>
              <w:marBottom w:val="0"/>
              <w:divBdr>
                <w:top w:val="none" w:sz="0" w:space="0" w:color="auto"/>
                <w:left w:val="none" w:sz="0" w:space="0" w:color="auto"/>
                <w:bottom w:val="none" w:sz="0" w:space="0" w:color="auto"/>
                <w:right w:val="none" w:sz="0" w:space="0" w:color="auto"/>
              </w:divBdr>
              <w:divsChild>
                <w:div w:id="14212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3389">
      <w:marLeft w:val="0"/>
      <w:marRight w:val="0"/>
      <w:marTop w:val="0"/>
      <w:marBottom w:val="0"/>
      <w:divBdr>
        <w:top w:val="none" w:sz="0" w:space="0" w:color="auto"/>
        <w:left w:val="none" w:sz="0" w:space="0" w:color="auto"/>
        <w:bottom w:val="none" w:sz="0" w:space="0" w:color="auto"/>
        <w:right w:val="none" w:sz="0" w:space="0" w:color="auto"/>
      </w:divBdr>
    </w:div>
    <w:div w:id="318852355">
      <w:marLeft w:val="0"/>
      <w:marRight w:val="0"/>
      <w:marTop w:val="0"/>
      <w:marBottom w:val="0"/>
      <w:divBdr>
        <w:top w:val="none" w:sz="0" w:space="0" w:color="auto"/>
        <w:left w:val="none" w:sz="0" w:space="0" w:color="auto"/>
        <w:bottom w:val="none" w:sz="0" w:space="0" w:color="auto"/>
        <w:right w:val="none" w:sz="0" w:space="0" w:color="auto"/>
      </w:divBdr>
    </w:div>
    <w:div w:id="392893063">
      <w:marLeft w:val="0"/>
      <w:marRight w:val="0"/>
      <w:marTop w:val="0"/>
      <w:marBottom w:val="0"/>
      <w:divBdr>
        <w:top w:val="none" w:sz="0" w:space="0" w:color="auto"/>
        <w:left w:val="none" w:sz="0" w:space="0" w:color="auto"/>
        <w:bottom w:val="none" w:sz="0" w:space="0" w:color="auto"/>
        <w:right w:val="none" w:sz="0" w:space="0" w:color="auto"/>
      </w:divBdr>
      <w:divsChild>
        <w:div w:id="125396840">
          <w:marLeft w:val="0"/>
          <w:marRight w:val="0"/>
          <w:marTop w:val="0"/>
          <w:marBottom w:val="0"/>
          <w:divBdr>
            <w:top w:val="none" w:sz="0" w:space="0" w:color="auto"/>
            <w:left w:val="none" w:sz="0" w:space="0" w:color="auto"/>
            <w:bottom w:val="none" w:sz="0" w:space="0" w:color="auto"/>
            <w:right w:val="none" w:sz="0" w:space="0" w:color="auto"/>
          </w:divBdr>
          <w:divsChild>
            <w:div w:id="236332588">
              <w:marLeft w:val="0"/>
              <w:marRight w:val="0"/>
              <w:marTop w:val="0"/>
              <w:marBottom w:val="0"/>
              <w:divBdr>
                <w:top w:val="none" w:sz="0" w:space="0" w:color="auto"/>
                <w:left w:val="none" w:sz="0" w:space="0" w:color="auto"/>
                <w:bottom w:val="none" w:sz="0" w:space="0" w:color="auto"/>
                <w:right w:val="none" w:sz="0" w:space="0" w:color="auto"/>
              </w:divBdr>
              <w:divsChild>
                <w:div w:id="1227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145118">
      <w:bodyDiv w:val="1"/>
      <w:marLeft w:val="0"/>
      <w:marRight w:val="0"/>
      <w:marTop w:val="0"/>
      <w:marBottom w:val="0"/>
      <w:divBdr>
        <w:top w:val="none" w:sz="0" w:space="0" w:color="auto"/>
        <w:left w:val="none" w:sz="0" w:space="0" w:color="auto"/>
        <w:bottom w:val="none" w:sz="0" w:space="0" w:color="auto"/>
        <w:right w:val="none" w:sz="0" w:space="0" w:color="auto"/>
      </w:divBdr>
      <w:divsChild>
        <w:div w:id="2091778782">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823669631">
          <w:marLeft w:val="0"/>
          <w:marRight w:val="0"/>
          <w:marTop w:val="0"/>
          <w:marBottom w:val="0"/>
          <w:divBdr>
            <w:top w:val="none" w:sz="0" w:space="0" w:color="auto"/>
            <w:left w:val="none" w:sz="0" w:space="0" w:color="auto"/>
            <w:bottom w:val="none" w:sz="0" w:space="0" w:color="auto"/>
            <w:right w:val="none" w:sz="0" w:space="0" w:color="auto"/>
          </w:divBdr>
        </w:div>
        <w:div w:id="1113473203">
          <w:marLeft w:val="0"/>
          <w:marRight w:val="0"/>
          <w:marTop w:val="0"/>
          <w:marBottom w:val="0"/>
          <w:divBdr>
            <w:top w:val="none" w:sz="0" w:space="0" w:color="auto"/>
            <w:left w:val="none" w:sz="0" w:space="0" w:color="auto"/>
            <w:bottom w:val="none" w:sz="0" w:space="0" w:color="auto"/>
            <w:right w:val="none" w:sz="0" w:space="0" w:color="auto"/>
          </w:divBdr>
          <w:divsChild>
            <w:div w:id="136192337">
              <w:marLeft w:val="0"/>
              <w:marRight w:val="0"/>
              <w:marTop w:val="0"/>
              <w:marBottom w:val="0"/>
              <w:divBdr>
                <w:top w:val="none" w:sz="0" w:space="0" w:color="auto"/>
                <w:left w:val="none" w:sz="0" w:space="0" w:color="auto"/>
                <w:bottom w:val="none" w:sz="0" w:space="0" w:color="auto"/>
                <w:right w:val="none" w:sz="0" w:space="0" w:color="auto"/>
              </w:divBdr>
              <w:divsChild>
                <w:div w:id="1377466076">
                  <w:marLeft w:val="0"/>
                  <w:marRight w:val="0"/>
                  <w:marTop w:val="0"/>
                  <w:marBottom w:val="0"/>
                  <w:divBdr>
                    <w:top w:val="none" w:sz="0" w:space="0" w:color="auto"/>
                    <w:left w:val="none" w:sz="0" w:space="0" w:color="auto"/>
                    <w:bottom w:val="none" w:sz="0" w:space="0" w:color="auto"/>
                    <w:right w:val="none" w:sz="0" w:space="0" w:color="auto"/>
                  </w:divBdr>
                  <w:divsChild>
                    <w:div w:id="95783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604844">
      <w:marLeft w:val="0"/>
      <w:marRight w:val="0"/>
      <w:marTop w:val="0"/>
      <w:marBottom w:val="0"/>
      <w:divBdr>
        <w:top w:val="none" w:sz="0" w:space="0" w:color="auto"/>
        <w:left w:val="none" w:sz="0" w:space="0" w:color="auto"/>
        <w:bottom w:val="none" w:sz="0" w:space="0" w:color="auto"/>
        <w:right w:val="none" w:sz="0" w:space="0" w:color="auto"/>
      </w:divBdr>
    </w:div>
    <w:div w:id="727190201">
      <w:marLeft w:val="0"/>
      <w:marRight w:val="0"/>
      <w:marTop w:val="0"/>
      <w:marBottom w:val="0"/>
      <w:divBdr>
        <w:top w:val="none" w:sz="0" w:space="0" w:color="auto"/>
        <w:left w:val="none" w:sz="0" w:space="0" w:color="auto"/>
        <w:bottom w:val="none" w:sz="0" w:space="0" w:color="auto"/>
        <w:right w:val="none" w:sz="0" w:space="0" w:color="auto"/>
      </w:divBdr>
      <w:divsChild>
        <w:div w:id="297076754">
          <w:marLeft w:val="0"/>
          <w:marRight w:val="0"/>
          <w:marTop w:val="0"/>
          <w:marBottom w:val="0"/>
          <w:divBdr>
            <w:top w:val="none" w:sz="0" w:space="0" w:color="auto"/>
            <w:left w:val="none" w:sz="0" w:space="0" w:color="auto"/>
            <w:bottom w:val="none" w:sz="0" w:space="0" w:color="auto"/>
            <w:right w:val="none" w:sz="0" w:space="0" w:color="auto"/>
          </w:divBdr>
          <w:divsChild>
            <w:div w:id="1748335395">
              <w:marLeft w:val="0"/>
              <w:marRight w:val="0"/>
              <w:marTop w:val="0"/>
              <w:marBottom w:val="0"/>
              <w:divBdr>
                <w:top w:val="none" w:sz="0" w:space="0" w:color="auto"/>
                <w:left w:val="none" w:sz="0" w:space="0" w:color="auto"/>
                <w:bottom w:val="none" w:sz="0" w:space="0" w:color="auto"/>
                <w:right w:val="none" w:sz="0" w:space="0" w:color="auto"/>
              </w:divBdr>
              <w:divsChild>
                <w:div w:id="14120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48721">
      <w:marLeft w:val="0"/>
      <w:marRight w:val="0"/>
      <w:marTop w:val="0"/>
      <w:marBottom w:val="0"/>
      <w:divBdr>
        <w:top w:val="none" w:sz="0" w:space="0" w:color="auto"/>
        <w:left w:val="none" w:sz="0" w:space="0" w:color="auto"/>
        <w:bottom w:val="none" w:sz="0" w:space="0" w:color="auto"/>
        <w:right w:val="none" w:sz="0" w:space="0" w:color="auto"/>
      </w:divBdr>
      <w:divsChild>
        <w:div w:id="405886069">
          <w:marLeft w:val="0"/>
          <w:marRight w:val="0"/>
          <w:marTop w:val="0"/>
          <w:marBottom w:val="0"/>
          <w:divBdr>
            <w:top w:val="none" w:sz="0" w:space="0" w:color="auto"/>
            <w:left w:val="none" w:sz="0" w:space="0" w:color="auto"/>
            <w:bottom w:val="none" w:sz="0" w:space="0" w:color="auto"/>
            <w:right w:val="none" w:sz="0" w:space="0" w:color="auto"/>
          </w:divBdr>
          <w:divsChild>
            <w:div w:id="440299582">
              <w:marLeft w:val="0"/>
              <w:marRight w:val="0"/>
              <w:marTop w:val="0"/>
              <w:marBottom w:val="0"/>
              <w:divBdr>
                <w:top w:val="none" w:sz="0" w:space="0" w:color="auto"/>
                <w:left w:val="none" w:sz="0" w:space="0" w:color="auto"/>
                <w:bottom w:val="none" w:sz="0" w:space="0" w:color="auto"/>
                <w:right w:val="none" w:sz="0" w:space="0" w:color="auto"/>
              </w:divBdr>
              <w:divsChild>
                <w:div w:id="1453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845132">
      <w:bodyDiv w:val="1"/>
      <w:marLeft w:val="0"/>
      <w:marRight w:val="0"/>
      <w:marTop w:val="0"/>
      <w:marBottom w:val="0"/>
      <w:divBdr>
        <w:top w:val="none" w:sz="0" w:space="0" w:color="auto"/>
        <w:left w:val="none" w:sz="0" w:space="0" w:color="auto"/>
        <w:bottom w:val="none" w:sz="0" w:space="0" w:color="auto"/>
        <w:right w:val="none" w:sz="0" w:space="0" w:color="auto"/>
      </w:divBdr>
      <w:divsChild>
        <w:div w:id="1058482374">
          <w:marLeft w:val="0"/>
          <w:marRight w:val="0"/>
          <w:marTop w:val="0"/>
          <w:marBottom w:val="0"/>
          <w:divBdr>
            <w:top w:val="none" w:sz="0" w:space="0" w:color="auto"/>
            <w:left w:val="none" w:sz="0" w:space="0" w:color="auto"/>
            <w:bottom w:val="none" w:sz="0" w:space="0" w:color="auto"/>
            <w:right w:val="none" w:sz="0" w:space="0" w:color="auto"/>
          </w:divBdr>
        </w:div>
        <w:div w:id="1302153373">
          <w:marLeft w:val="0"/>
          <w:marRight w:val="0"/>
          <w:marTop w:val="0"/>
          <w:marBottom w:val="0"/>
          <w:divBdr>
            <w:top w:val="none" w:sz="0" w:space="0" w:color="auto"/>
            <w:left w:val="none" w:sz="0" w:space="0" w:color="auto"/>
            <w:bottom w:val="none" w:sz="0" w:space="0" w:color="auto"/>
            <w:right w:val="none" w:sz="0" w:space="0" w:color="auto"/>
          </w:divBdr>
        </w:div>
        <w:div w:id="1508666488">
          <w:marLeft w:val="0"/>
          <w:marRight w:val="0"/>
          <w:marTop w:val="0"/>
          <w:marBottom w:val="0"/>
          <w:divBdr>
            <w:top w:val="none" w:sz="0" w:space="0" w:color="auto"/>
            <w:left w:val="none" w:sz="0" w:space="0" w:color="auto"/>
            <w:bottom w:val="none" w:sz="0" w:space="0" w:color="auto"/>
            <w:right w:val="none" w:sz="0" w:space="0" w:color="auto"/>
          </w:divBdr>
        </w:div>
        <w:div w:id="1962148122">
          <w:marLeft w:val="0"/>
          <w:marRight w:val="0"/>
          <w:marTop w:val="0"/>
          <w:marBottom w:val="0"/>
          <w:divBdr>
            <w:top w:val="none" w:sz="0" w:space="0" w:color="auto"/>
            <w:left w:val="none" w:sz="0" w:space="0" w:color="auto"/>
            <w:bottom w:val="none" w:sz="0" w:space="0" w:color="auto"/>
            <w:right w:val="none" w:sz="0" w:space="0" w:color="auto"/>
          </w:divBdr>
          <w:divsChild>
            <w:div w:id="546726552">
              <w:marLeft w:val="0"/>
              <w:marRight w:val="0"/>
              <w:marTop w:val="0"/>
              <w:marBottom w:val="0"/>
              <w:divBdr>
                <w:top w:val="none" w:sz="0" w:space="0" w:color="auto"/>
                <w:left w:val="none" w:sz="0" w:space="0" w:color="auto"/>
                <w:bottom w:val="none" w:sz="0" w:space="0" w:color="auto"/>
                <w:right w:val="none" w:sz="0" w:space="0" w:color="auto"/>
              </w:divBdr>
              <w:divsChild>
                <w:div w:id="186990010">
                  <w:marLeft w:val="0"/>
                  <w:marRight w:val="0"/>
                  <w:marTop w:val="0"/>
                  <w:marBottom w:val="0"/>
                  <w:divBdr>
                    <w:top w:val="none" w:sz="0" w:space="0" w:color="auto"/>
                    <w:left w:val="none" w:sz="0" w:space="0" w:color="auto"/>
                    <w:bottom w:val="none" w:sz="0" w:space="0" w:color="auto"/>
                    <w:right w:val="none" w:sz="0" w:space="0" w:color="auto"/>
                  </w:divBdr>
                  <w:divsChild>
                    <w:div w:id="17387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9100">
      <w:marLeft w:val="0"/>
      <w:marRight w:val="0"/>
      <w:marTop w:val="0"/>
      <w:marBottom w:val="0"/>
      <w:divBdr>
        <w:top w:val="none" w:sz="0" w:space="0" w:color="auto"/>
        <w:left w:val="none" w:sz="0" w:space="0" w:color="auto"/>
        <w:bottom w:val="none" w:sz="0" w:space="0" w:color="auto"/>
        <w:right w:val="none" w:sz="0" w:space="0" w:color="auto"/>
      </w:divBdr>
    </w:div>
    <w:div w:id="1223981741">
      <w:marLeft w:val="0"/>
      <w:marRight w:val="0"/>
      <w:marTop w:val="0"/>
      <w:marBottom w:val="0"/>
      <w:divBdr>
        <w:top w:val="none" w:sz="0" w:space="0" w:color="auto"/>
        <w:left w:val="none" w:sz="0" w:space="0" w:color="auto"/>
        <w:bottom w:val="none" w:sz="0" w:space="0" w:color="auto"/>
        <w:right w:val="none" w:sz="0" w:space="0" w:color="auto"/>
      </w:divBdr>
      <w:divsChild>
        <w:div w:id="1995597579">
          <w:marLeft w:val="0"/>
          <w:marRight w:val="0"/>
          <w:marTop w:val="0"/>
          <w:marBottom w:val="0"/>
          <w:divBdr>
            <w:top w:val="none" w:sz="0" w:space="0" w:color="auto"/>
            <w:left w:val="none" w:sz="0" w:space="0" w:color="auto"/>
            <w:bottom w:val="none" w:sz="0" w:space="0" w:color="auto"/>
            <w:right w:val="none" w:sz="0" w:space="0" w:color="auto"/>
          </w:divBdr>
          <w:divsChild>
            <w:div w:id="1432238367">
              <w:marLeft w:val="0"/>
              <w:marRight w:val="0"/>
              <w:marTop w:val="0"/>
              <w:marBottom w:val="0"/>
              <w:divBdr>
                <w:top w:val="none" w:sz="0" w:space="0" w:color="auto"/>
                <w:left w:val="none" w:sz="0" w:space="0" w:color="auto"/>
                <w:bottom w:val="none" w:sz="0" w:space="0" w:color="auto"/>
                <w:right w:val="none" w:sz="0" w:space="0" w:color="auto"/>
              </w:divBdr>
              <w:divsChild>
                <w:div w:id="21302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6225">
      <w:marLeft w:val="0"/>
      <w:marRight w:val="0"/>
      <w:marTop w:val="0"/>
      <w:marBottom w:val="0"/>
      <w:divBdr>
        <w:top w:val="none" w:sz="0" w:space="0" w:color="auto"/>
        <w:left w:val="none" w:sz="0" w:space="0" w:color="auto"/>
        <w:bottom w:val="none" w:sz="0" w:space="0" w:color="auto"/>
        <w:right w:val="none" w:sz="0" w:space="0" w:color="auto"/>
      </w:divBdr>
      <w:divsChild>
        <w:div w:id="1615401473">
          <w:marLeft w:val="0"/>
          <w:marRight w:val="0"/>
          <w:marTop w:val="0"/>
          <w:marBottom w:val="0"/>
          <w:divBdr>
            <w:top w:val="none" w:sz="0" w:space="0" w:color="auto"/>
            <w:left w:val="none" w:sz="0" w:space="0" w:color="auto"/>
            <w:bottom w:val="none" w:sz="0" w:space="0" w:color="auto"/>
            <w:right w:val="none" w:sz="0" w:space="0" w:color="auto"/>
          </w:divBdr>
          <w:divsChild>
            <w:div w:id="271325458">
              <w:marLeft w:val="0"/>
              <w:marRight w:val="0"/>
              <w:marTop w:val="0"/>
              <w:marBottom w:val="0"/>
              <w:divBdr>
                <w:top w:val="none" w:sz="0" w:space="0" w:color="auto"/>
                <w:left w:val="none" w:sz="0" w:space="0" w:color="auto"/>
                <w:bottom w:val="none" w:sz="0" w:space="0" w:color="auto"/>
                <w:right w:val="none" w:sz="0" w:space="0" w:color="auto"/>
              </w:divBdr>
              <w:divsChild>
                <w:div w:id="985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72656">
      <w:marLeft w:val="0"/>
      <w:marRight w:val="0"/>
      <w:marTop w:val="0"/>
      <w:marBottom w:val="0"/>
      <w:divBdr>
        <w:top w:val="none" w:sz="0" w:space="0" w:color="auto"/>
        <w:left w:val="none" w:sz="0" w:space="0" w:color="auto"/>
        <w:bottom w:val="none" w:sz="0" w:space="0" w:color="auto"/>
        <w:right w:val="none" w:sz="0" w:space="0" w:color="auto"/>
      </w:divBdr>
    </w:div>
    <w:div w:id="1271544615">
      <w:marLeft w:val="0"/>
      <w:marRight w:val="0"/>
      <w:marTop w:val="0"/>
      <w:marBottom w:val="0"/>
      <w:divBdr>
        <w:top w:val="none" w:sz="0" w:space="0" w:color="auto"/>
        <w:left w:val="none" w:sz="0" w:space="0" w:color="auto"/>
        <w:bottom w:val="none" w:sz="0" w:space="0" w:color="auto"/>
        <w:right w:val="none" w:sz="0" w:space="0" w:color="auto"/>
      </w:divBdr>
    </w:div>
    <w:div w:id="1342973954">
      <w:marLeft w:val="0"/>
      <w:marRight w:val="0"/>
      <w:marTop w:val="0"/>
      <w:marBottom w:val="0"/>
      <w:divBdr>
        <w:top w:val="none" w:sz="0" w:space="0" w:color="auto"/>
        <w:left w:val="none" w:sz="0" w:space="0" w:color="auto"/>
        <w:bottom w:val="none" w:sz="0" w:space="0" w:color="auto"/>
        <w:right w:val="none" w:sz="0" w:space="0" w:color="auto"/>
      </w:divBdr>
      <w:divsChild>
        <w:div w:id="748425216">
          <w:marLeft w:val="0"/>
          <w:marRight w:val="0"/>
          <w:marTop w:val="0"/>
          <w:marBottom w:val="0"/>
          <w:divBdr>
            <w:top w:val="none" w:sz="0" w:space="0" w:color="auto"/>
            <w:left w:val="none" w:sz="0" w:space="0" w:color="auto"/>
            <w:bottom w:val="none" w:sz="0" w:space="0" w:color="auto"/>
            <w:right w:val="none" w:sz="0" w:space="0" w:color="auto"/>
          </w:divBdr>
          <w:divsChild>
            <w:div w:id="97482468">
              <w:marLeft w:val="0"/>
              <w:marRight w:val="0"/>
              <w:marTop w:val="0"/>
              <w:marBottom w:val="0"/>
              <w:divBdr>
                <w:top w:val="none" w:sz="0" w:space="0" w:color="auto"/>
                <w:left w:val="none" w:sz="0" w:space="0" w:color="auto"/>
                <w:bottom w:val="none" w:sz="0" w:space="0" w:color="auto"/>
                <w:right w:val="none" w:sz="0" w:space="0" w:color="auto"/>
              </w:divBdr>
              <w:divsChild>
                <w:div w:id="5908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0562">
      <w:marLeft w:val="0"/>
      <w:marRight w:val="0"/>
      <w:marTop w:val="0"/>
      <w:marBottom w:val="0"/>
      <w:divBdr>
        <w:top w:val="none" w:sz="0" w:space="0" w:color="auto"/>
        <w:left w:val="none" w:sz="0" w:space="0" w:color="auto"/>
        <w:bottom w:val="none" w:sz="0" w:space="0" w:color="auto"/>
        <w:right w:val="none" w:sz="0" w:space="0" w:color="auto"/>
      </w:divBdr>
    </w:div>
    <w:div w:id="1599631264">
      <w:marLeft w:val="0"/>
      <w:marRight w:val="0"/>
      <w:marTop w:val="0"/>
      <w:marBottom w:val="0"/>
      <w:divBdr>
        <w:top w:val="none" w:sz="0" w:space="0" w:color="auto"/>
        <w:left w:val="none" w:sz="0" w:space="0" w:color="auto"/>
        <w:bottom w:val="none" w:sz="0" w:space="0" w:color="auto"/>
        <w:right w:val="none" w:sz="0" w:space="0" w:color="auto"/>
      </w:divBdr>
    </w:div>
    <w:div w:id="1643077192">
      <w:marLeft w:val="0"/>
      <w:marRight w:val="0"/>
      <w:marTop w:val="0"/>
      <w:marBottom w:val="0"/>
      <w:divBdr>
        <w:top w:val="none" w:sz="0" w:space="0" w:color="auto"/>
        <w:left w:val="none" w:sz="0" w:space="0" w:color="auto"/>
        <w:bottom w:val="none" w:sz="0" w:space="0" w:color="auto"/>
        <w:right w:val="none" w:sz="0" w:space="0" w:color="auto"/>
      </w:divBdr>
      <w:divsChild>
        <w:div w:id="987323848">
          <w:marLeft w:val="0"/>
          <w:marRight w:val="0"/>
          <w:marTop w:val="0"/>
          <w:marBottom w:val="0"/>
          <w:divBdr>
            <w:top w:val="none" w:sz="0" w:space="0" w:color="auto"/>
            <w:left w:val="none" w:sz="0" w:space="0" w:color="auto"/>
            <w:bottom w:val="none" w:sz="0" w:space="0" w:color="auto"/>
            <w:right w:val="none" w:sz="0" w:space="0" w:color="auto"/>
          </w:divBdr>
          <w:divsChild>
            <w:div w:id="1055929206">
              <w:marLeft w:val="0"/>
              <w:marRight w:val="0"/>
              <w:marTop w:val="0"/>
              <w:marBottom w:val="0"/>
              <w:divBdr>
                <w:top w:val="none" w:sz="0" w:space="0" w:color="auto"/>
                <w:left w:val="none" w:sz="0" w:space="0" w:color="auto"/>
                <w:bottom w:val="none" w:sz="0" w:space="0" w:color="auto"/>
                <w:right w:val="none" w:sz="0" w:space="0" w:color="auto"/>
              </w:divBdr>
              <w:divsChild>
                <w:div w:id="7318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11790">
      <w:marLeft w:val="0"/>
      <w:marRight w:val="0"/>
      <w:marTop w:val="0"/>
      <w:marBottom w:val="0"/>
      <w:divBdr>
        <w:top w:val="none" w:sz="0" w:space="0" w:color="auto"/>
        <w:left w:val="none" w:sz="0" w:space="0" w:color="auto"/>
        <w:bottom w:val="none" w:sz="0" w:space="0" w:color="auto"/>
        <w:right w:val="none" w:sz="0" w:space="0" w:color="auto"/>
      </w:divBdr>
    </w:div>
    <w:div w:id="1772891096">
      <w:marLeft w:val="0"/>
      <w:marRight w:val="0"/>
      <w:marTop w:val="0"/>
      <w:marBottom w:val="0"/>
      <w:divBdr>
        <w:top w:val="none" w:sz="0" w:space="0" w:color="auto"/>
        <w:left w:val="none" w:sz="0" w:space="0" w:color="auto"/>
        <w:bottom w:val="none" w:sz="0" w:space="0" w:color="auto"/>
        <w:right w:val="none" w:sz="0" w:space="0" w:color="auto"/>
      </w:divBdr>
    </w:div>
    <w:div w:id="1825849503">
      <w:marLeft w:val="0"/>
      <w:marRight w:val="0"/>
      <w:marTop w:val="0"/>
      <w:marBottom w:val="0"/>
      <w:divBdr>
        <w:top w:val="none" w:sz="0" w:space="0" w:color="auto"/>
        <w:left w:val="none" w:sz="0" w:space="0" w:color="auto"/>
        <w:bottom w:val="none" w:sz="0" w:space="0" w:color="auto"/>
        <w:right w:val="none" w:sz="0" w:space="0" w:color="auto"/>
      </w:divBdr>
    </w:div>
    <w:div w:id="1895703206">
      <w:marLeft w:val="0"/>
      <w:marRight w:val="0"/>
      <w:marTop w:val="0"/>
      <w:marBottom w:val="0"/>
      <w:divBdr>
        <w:top w:val="none" w:sz="0" w:space="0" w:color="auto"/>
        <w:left w:val="none" w:sz="0" w:space="0" w:color="auto"/>
        <w:bottom w:val="none" w:sz="0" w:space="0" w:color="auto"/>
        <w:right w:val="none" w:sz="0" w:space="0" w:color="auto"/>
      </w:divBdr>
      <w:divsChild>
        <w:div w:id="1602491006">
          <w:marLeft w:val="0"/>
          <w:marRight w:val="0"/>
          <w:marTop w:val="0"/>
          <w:marBottom w:val="0"/>
          <w:divBdr>
            <w:top w:val="none" w:sz="0" w:space="0" w:color="auto"/>
            <w:left w:val="none" w:sz="0" w:space="0" w:color="auto"/>
            <w:bottom w:val="none" w:sz="0" w:space="0" w:color="auto"/>
            <w:right w:val="none" w:sz="0" w:space="0" w:color="auto"/>
          </w:divBdr>
          <w:divsChild>
            <w:div w:id="1944728745">
              <w:marLeft w:val="0"/>
              <w:marRight w:val="0"/>
              <w:marTop w:val="0"/>
              <w:marBottom w:val="0"/>
              <w:divBdr>
                <w:top w:val="none" w:sz="0" w:space="0" w:color="auto"/>
                <w:left w:val="none" w:sz="0" w:space="0" w:color="auto"/>
                <w:bottom w:val="none" w:sz="0" w:space="0" w:color="auto"/>
                <w:right w:val="none" w:sz="0" w:space="0" w:color="auto"/>
              </w:divBdr>
              <w:divsChild>
                <w:div w:id="10374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33287">
      <w:marLeft w:val="0"/>
      <w:marRight w:val="0"/>
      <w:marTop w:val="0"/>
      <w:marBottom w:val="0"/>
      <w:divBdr>
        <w:top w:val="none" w:sz="0" w:space="0" w:color="auto"/>
        <w:left w:val="none" w:sz="0" w:space="0" w:color="auto"/>
        <w:bottom w:val="none" w:sz="0" w:space="0" w:color="auto"/>
        <w:right w:val="none" w:sz="0" w:space="0" w:color="auto"/>
      </w:divBdr>
      <w:divsChild>
        <w:div w:id="504437134">
          <w:marLeft w:val="0"/>
          <w:marRight w:val="0"/>
          <w:marTop w:val="0"/>
          <w:marBottom w:val="0"/>
          <w:divBdr>
            <w:top w:val="none" w:sz="0" w:space="0" w:color="auto"/>
            <w:left w:val="none" w:sz="0" w:space="0" w:color="auto"/>
            <w:bottom w:val="none" w:sz="0" w:space="0" w:color="auto"/>
            <w:right w:val="none" w:sz="0" w:space="0" w:color="auto"/>
          </w:divBdr>
          <w:divsChild>
            <w:div w:id="926503172">
              <w:marLeft w:val="0"/>
              <w:marRight w:val="0"/>
              <w:marTop w:val="0"/>
              <w:marBottom w:val="0"/>
              <w:divBdr>
                <w:top w:val="none" w:sz="0" w:space="0" w:color="auto"/>
                <w:left w:val="none" w:sz="0" w:space="0" w:color="auto"/>
                <w:bottom w:val="none" w:sz="0" w:space="0" w:color="auto"/>
                <w:right w:val="none" w:sz="0" w:space="0" w:color="auto"/>
              </w:divBdr>
              <w:divsChild>
                <w:div w:id="14162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ticscholar.org/p/25707595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emanticscholar.org/p/27276842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manticscholar.org/p/274744373" TargetMode="External"/><Relationship Id="rId11" Type="http://schemas.openxmlformats.org/officeDocument/2006/relationships/hyperlink" Target="https://www.semanticscholar.org/p/266935058" TargetMode="External"/><Relationship Id="rId5" Type="http://schemas.openxmlformats.org/officeDocument/2006/relationships/image" Target="media/image1.png"/><Relationship Id="rId10" Type="http://schemas.openxmlformats.org/officeDocument/2006/relationships/hyperlink" Target="https://www.semanticscholar.org/p/236199068" TargetMode="External"/><Relationship Id="rId4" Type="http://schemas.openxmlformats.org/officeDocument/2006/relationships/webSettings" Target="webSettings.xml"/><Relationship Id="rId9" Type="http://schemas.openxmlformats.org/officeDocument/2006/relationships/hyperlink" Target="https://www.semanticscholar.org/p/2639118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32583</Words>
  <Characters>185727</Characters>
  <Application>Microsoft Office Word</Application>
  <DocSecurity>0</DocSecurity>
  <Lines>1547</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MUKESHA</dc:creator>
  <cp:keywords/>
  <dc:description/>
  <cp:lastModifiedBy>Dany MUKESHA</cp:lastModifiedBy>
  <cp:revision>125</cp:revision>
  <dcterms:created xsi:type="dcterms:W3CDTF">2025-08-22T10:07:00Z</dcterms:created>
  <dcterms:modified xsi:type="dcterms:W3CDTF">2025-08-25T10:47:00Z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id="BWhLpOEC"/&gt;&lt;style id="http://www.zotero.org/styles/ieee" locale="en-US" hasBibliography="1" bibliographyStyleHasBeenSet="1"/&gt;&lt;prefs&gt;&lt;pref name="fieldType" value="Field"/&gt;&lt;/prefs&gt;&lt;/data&gt;</vt:lpwstr>
  </property>
</Properties>
</file>