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B3A5C"/>
          <w:sz w:val="56"/>
        </w:rPr>
        <w:t>ECOLINE WINDOWS</w:t>
      </w:r>
    </w:p>
    <w:p>
      <w:pPr>
        <w:jc w:val="center"/>
      </w:pPr>
      <w:r>
        <w:rPr>
          <w:rFonts w:ascii="Arial" w:hAnsi="Arial"/>
          <w:color w:val="2E75B6"/>
          <w:sz w:val="40"/>
        </w:rPr>
        <w:t>Cancelled Before Appointment</w:t>
        <w:br/>
        <w:t>Action Plan</w:t>
      </w:r>
    </w:p>
    <w:p>
      <w:pPr>
        <w:jc w:val="center"/>
      </w:pPr>
      <w:r>
        <w:rPr>
          <w:rFonts w:ascii="Arial" w:hAnsi="Arial"/>
          <w:color w:val="666666"/>
          <w:sz w:val="22"/>
        </w:rPr>
        <w:t>Based on data analysis: January – March 2025 vs 2026</w:t>
        <w:br/>
        <w:t>April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Cancelled before appointment rate in January–February 2026 reached 25%, compared to 17% in the same period of 2025 — a 47% increase year-over-year. The problem is concentrated in three areas: prairie cities (Winnipeg, Calgary, Saskatoon), new offer types (Seniors 60+, Spring, CEIP), and Lead Gen campaigns with insufficient qualification.</w:t>
      </w:r>
    </w:p>
    <w:p>
      <w:r>
        <w:t>March 2026 showed a dramatic reversal, dropping to 17.8% (below March 2025 at 23.9%), proving the problem is solvable. This plan outlines specific actions across advertising, sales operations, and customer communication to sustain March improvements and drive cancellation rates below 15%.</w:t>
      </w:r>
    </w:p>
    <w:p>
      <w:r>
        <w:rPr>
          <w:b/>
          <w:color w:val="1B3A5C"/>
          <w:sz w:val="24"/>
        </w:rPr>
        <w:t>Key Findings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984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2025 Jan–Feb</w:t>
            </w:r>
          </w:p>
        </w:tc>
        <w:tc>
          <w:tcPr>
            <w:tcW w:type="dxa" w:w="1984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2026 Jan–Feb</w:t>
            </w:r>
          </w:p>
        </w:tc>
        <w:tc>
          <w:tcPr>
            <w:tcW w:type="dxa" w:w="1984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2026 March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Canc Before % (CONV)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8"/>
              </w:rPr>
              <w:t>19.2%</w:t>
            </w:r>
          </w:p>
        </w:tc>
        <w:tc>
          <w:tcPr>
            <w:tcW w:type="dxa" w:w="1984"/>
            <w:shd w:fill="FDDEDE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24.1%</w:t>
            </w:r>
          </w:p>
        </w:tc>
        <w:tc>
          <w:tcPr>
            <w:tcW w:type="dxa" w:w="1984"/>
            <w:shd w:fill="D5F5D5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16.8%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Canc Before % (LG)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8"/>
              </w:rPr>
              <w:t>14.1%</w:t>
            </w:r>
          </w:p>
        </w:tc>
        <w:tc>
          <w:tcPr>
            <w:tcW w:type="dxa" w:w="1984"/>
            <w:shd w:fill="FDDEDE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25.4%</w:t>
            </w:r>
          </w:p>
        </w:tc>
        <w:tc>
          <w:tcPr>
            <w:tcW w:type="dxa" w:w="1984"/>
            <w:shd w:fill="D5F5D5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18.7%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Worst city (Winnipeg)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8"/>
              </w:rPr>
              <w:t>24.3%</w:t>
            </w:r>
          </w:p>
        </w:tc>
        <w:tc>
          <w:tcPr>
            <w:tcW w:type="dxa" w:w="1984"/>
            <w:shd w:fill="FDDEDE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41.4%</w:t>
            </w:r>
          </w:p>
        </w:tc>
        <w:tc>
          <w:tcPr>
            <w:tcW w:type="dxa" w:w="1984"/>
            <w:shd w:fill="FFF3C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28.6%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Best timing (22–30 day appts)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1984"/>
            <w:shd w:fill="D5F5D5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18.7%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Worst timing (0–7 day appts)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1984"/>
            <w:shd w:fill="FDDEDE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25.5%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1. Реклама (Advertising)</w:t>
      </w:r>
    </w:p>
    <w:p>
      <w:pPr>
        <w:pStyle w:val="Heading2"/>
      </w:pPr>
      <w:r>
        <w:t>1.1 Отключить проблемные крео</w:t>
      </w:r>
    </w:p>
    <w:p>
      <w:r>
        <w:t>Data shows specific creatives consistently driving 40–60% cancellation rates. These must be paused immediately and replaced.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Creative</w:t>
            </w:r>
          </w:p>
        </w:tc>
        <w:tc>
          <w:tcPr>
            <w:tcW w:type="dxa" w:w="2835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Campaign</w:t>
            </w:r>
          </w:p>
        </w:tc>
        <w:tc>
          <w:tcPr>
            <w:tcW w:type="dxa" w:w="1701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Canc Before %</w:t>
            </w:r>
          </w:p>
        </w:tc>
        <w:tc>
          <w:tcPr>
            <w:tcW w:type="dxa" w:w="1417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8"/>
              </w:rPr>
              <w:t>Hyp 138 — IT 4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CONV Installation / Winnipeg LG</w:t>
            </w:r>
          </w:p>
        </w:tc>
        <w:tc>
          <w:tcPr>
            <w:tcW w:type="dxa" w:w="1701"/>
            <w:shd w:fill="FDDEDE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47–57%</w:t>
            </w:r>
          </w:p>
        </w:tc>
        <w:tc>
          <w:tcPr>
            <w:tcW w:type="dxa" w:w="1417"/>
            <w:shd w:fill="FDDEDE" w:val="clear"/>
          </w:tcPr>
          <w:p>
            <w:r/>
            <w:r>
              <w:rPr>
                <w:rFonts w:ascii="Arial" w:hAnsi="Arial"/>
                <w:b/>
                <w:sz w:val="18"/>
              </w:rPr>
              <w:t>PAUSE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8"/>
              </w:rPr>
              <w:t>Hyp 133 — IT 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Winnipeg LG / Edmonton LG</w:t>
            </w:r>
          </w:p>
        </w:tc>
        <w:tc>
          <w:tcPr>
            <w:tcW w:type="dxa" w:w="1701"/>
            <w:shd w:fill="FDDEDE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43–60%</w:t>
            </w:r>
          </w:p>
        </w:tc>
        <w:tc>
          <w:tcPr>
            <w:tcW w:type="dxa" w:w="1417"/>
            <w:shd w:fill="FDDEDE" w:val="clear"/>
          </w:tcPr>
          <w:p>
            <w:r/>
            <w:r>
              <w:rPr>
                <w:rFonts w:ascii="Arial" w:hAnsi="Arial"/>
                <w:b/>
                <w:sz w:val="18"/>
              </w:rPr>
              <w:t>PAUSE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8"/>
              </w:rPr>
              <w:t>SHARP (Hyp 153–155)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Seniors 60+ Alberta</w:t>
            </w:r>
          </w:p>
        </w:tc>
        <w:tc>
          <w:tcPr>
            <w:tcW w:type="dxa" w:w="1701"/>
            <w:shd w:fill="FDDEDE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33–47%</w:t>
            </w:r>
          </w:p>
        </w:tc>
        <w:tc>
          <w:tcPr>
            <w:tcW w:type="dxa" w:w="1417"/>
            <w:shd w:fill="FDDEDE" w:val="clear"/>
          </w:tcPr>
          <w:p>
            <w:r/>
            <w:r>
              <w:rPr>
                <w:rFonts w:ascii="Arial" w:hAnsi="Arial"/>
                <w:b/>
                <w:sz w:val="18"/>
              </w:rPr>
              <w:t>PAUSE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8"/>
              </w:rPr>
              <w:t>Hyp 112.1 — IT 3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ACC3 LG Hard Form</w:t>
            </w:r>
          </w:p>
        </w:tc>
        <w:tc>
          <w:tcPr>
            <w:tcW w:type="dxa" w:w="1701"/>
            <w:shd w:fill="FDDEDE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57%</w:t>
            </w:r>
          </w:p>
        </w:tc>
        <w:tc>
          <w:tcPr>
            <w:tcW w:type="dxa" w:w="1417"/>
            <w:shd w:fill="FDDEDE" w:val="clear"/>
          </w:tcPr>
          <w:p>
            <w:r/>
            <w:r>
              <w:rPr>
                <w:rFonts w:ascii="Arial" w:hAnsi="Arial"/>
                <w:b/>
                <w:sz w:val="18"/>
              </w:rPr>
              <w:t>PAUSE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8"/>
              </w:rPr>
              <w:t>Hyp 147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Winnipeg LG</w:t>
            </w:r>
          </w:p>
        </w:tc>
        <w:tc>
          <w:tcPr>
            <w:tcW w:type="dxa" w:w="1701"/>
            <w:shd w:fill="FDDEDE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55.6%</w:t>
            </w:r>
          </w:p>
        </w:tc>
        <w:tc>
          <w:tcPr>
            <w:tcW w:type="dxa" w:w="1417"/>
            <w:shd w:fill="FDDEDE" w:val="clear"/>
          </w:tcPr>
          <w:p>
            <w:r/>
            <w:r>
              <w:rPr>
                <w:rFonts w:ascii="Arial" w:hAnsi="Arial"/>
                <w:b/>
                <w:sz w:val="18"/>
              </w:rPr>
              <w:t>PAUSE</w:t>
            </w:r>
          </w:p>
        </w:tc>
      </w:tr>
    </w:tbl>
    <w:p/>
    <w:p>
      <w:r>
        <w:rPr>
          <w:rFonts w:ascii="Arial" w:hAnsi="Arial"/>
          <w:b/>
          <w:sz w:val="20"/>
        </w:rPr>
        <w:t xml:space="preserve">Timeline: </w:t>
      </w:r>
      <w:r>
        <w:rPr>
          <w:rFonts w:ascii="Arial" w:hAnsi="Arial"/>
          <w:sz w:val="20"/>
        </w:rPr>
        <w:t>Immediate (this week)</w:t>
      </w:r>
    </w:p>
    <w:p>
      <w:r>
        <w:rPr>
          <w:rFonts w:ascii="Arial" w:hAnsi="Arial"/>
          <w:b/>
          <w:sz w:val="20"/>
        </w:rPr>
        <w:t xml:space="preserve">Owner: </w:t>
      </w:r>
      <w:r>
        <w:rPr>
          <w:rFonts w:ascii="Arial" w:hAnsi="Arial"/>
          <w:sz w:val="20"/>
        </w:rPr>
        <w:t>Media buyer</w:t>
      </w:r>
    </w:p>
    <w:p>
      <w:r>
        <w:rPr>
          <w:rFonts w:ascii="Arial" w:hAnsi="Arial"/>
          <w:b/>
          <w:sz w:val="20"/>
        </w:rPr>
        <w:t xml:space="preserve">KPI: </w:t>
      </w:r>
      <w:r>
        <w:rPr>
          <w:rFonts w:ascii="Arial" w:hAnsi="Arial"/>
          <w:sz w:val="20"/>
        </w:rPr>
        <w:t>Canc before rate for affected campaigns drops below 25% within 2 weeks</w:t>
      </w:r>
    </w:p>
    <w:p>
      <w:pPr>
        <w:pStyle w:val="Heading2"/>
      </w:pPr>
      <w:r>
        <w:t>1.2 Перестроить офер Seniors 60+</w:t>
      </w:r>
    </w:p>
    <w:p>
      <w:r>
        <w:t>Seniors 60+ has the highest consistent cancellation rate (25–36%) across all three months. This audience agrees to appointments easily but cancels at much higher rates.</w:t>
      </w:r>
    </w:p>
    <w:p>
      <w:pPr>
        <w:pStyle w:val="ListBullet"/>
      </w:pPr>
      <w:r>
        <w:rPr>
          <w:rFonts w:ascii="Arial" w:hAnsi="Arial"/>
          <w:sz w:val="20"/>
        </w:rPr>
        <w:t>Reduce budget allocation by 30–40% until fixed</w:t>
      </w:r>
    </w:p>
    <w:p>
      <w:pPr>
        <w:pStyle w:val="ListBullet"/>
      </w:pPr>
      <w:r>
        <w:rPr>
          <w:rFonts w:ascii="Arial" w:hAnsi="Arial"/>
          <w:sz w:val="20"/>
        </w:rPr>
        <w:t>Replace SHARP series creatives with testimonial-based video (social proof from 60+ customers)</w:t>
      </w:r>
    </w:p>
    <w:p>
      <w:pPr>
        <w:pStyle w:val="ListBullet"/>
      </w:pPr>
      <w:r>
        <w:rPr>
          <w:rFonts w:ascii="Arial" w:hAnsi="Arial"/>
          <w:sz w:val="20"/>
        </w:rPr>
        <w:t>Test CONV-only approach for Seniors (remove LG instant forms)</w:t>
      </w:r>
    </w:p>
    <w:p>
      <w:pPr>
        <w:pStyle w:val="ListBullet"/>
      </w:pPr>
      <w:r>
        <w:rPr>
          <w:rFonts w:ascii="Arial" w:hAnsi="Arial"/>
          <w:sz w:val="20"/>
        </w:rPr>
        <w:t>Add phone confirmation step: call within 2 hours of form submission</w:t>
      </w:r>
    </w:p>
    <w:p>
      <w:pPr>
        <w:pStyle w:val="ListBullet"/>
      </w:pPr>
      <w:r>
        <w:rPr>
          <w:rFonts w:ascii="Arial" w:hAnsi="Arial"/>
          <w:sz w:val="20"/>
        </w:rPr>
        <w:t>Test «free consultation» framing instead of «appointment» — lower commitment language</w:t>
      </w:r>
    </w:p>
    <w:p/>
    <w:p>
      <w:r>
        <w:rPr>
          <w:rFonts w:ascii="Arial" w:hAnsi="Arial"/>
          <w:b/>
          <w:sz w:val="20"/>
        </w:rPr>
        <w:t xml:space="preserve">Timeline: </w:t>
      </w:r>
      <w:r>
        <w:rPr>
          <w:rFonts w:ascii="Arial" w:hAnsi="Arial"/>
          <w:sz w:val="20"/>
        </w:rPr>
        <w:t>Week 1–2</w:t>
      </w:r>
    </w:p>
    <w:p>
      <w:r>
        <w:rPr>
          <w:rFonts w:ascii="Arial" w:hAnsi="Arial"/>
          <w:b/>
          <w:sz w:val="20"/>
        </w:rPr>
        <w:t xml:space="preserve">Owner: </w:t>
      </w:r>
      <w:r>
        <w:rPr>
          <w:rFonts w:ascii="Arial" w:hAnsi="Arial"/>
          <w:sz w:val="20"/>
        </w:rPr>
        <w:t>Media buyer + Sales manager</w:t>
      </w:r>
    </w:p>
    <w:p>
      <w:r>
        <w:rPr>
          <w:rFonts w:ascii="Arial" w:hAnsi="Arial"/>
          <w:b/>
          <w:sz w:val="20"/>
        </w:rPr>
        <w:t xml:space="preserve">KPI: </w:t>
      </w:r>
      <w:r>
        <w:rPr>
          <w:rFonts w:ascii="Arial" w:hAnsi="Arial"/>
          <w:sz w:val="20"/>
        </w:rPr>
        <w:t>Seniors canc_before below 20% within 30 days</w:t>
      </w:r>
    </w:p>
    <w:p>
      <w:pPr>
        <w:pStyle w:val="Heading2"/>
      </w:pPr>
      <w:r>
        <w:t>1.3 Починить Winnipeg</w:t>
      </w:r>
    </w:p>
    <w:p>
      <w:r>
        <w:t>Winnipeg went from 26% (2025) to 41% (Jan–Feb 2026) cancellation. The problem is systemic — all creatives perform poorly there.</w:t>
      </w:r>
    </w:p>
    <w:p>
      <w:pPr>
        <w:pStyle w:val="ListBullet"/>
      </w:pPr>
      <w:r>
        <w:rPr>
          <w:rFonts w:ascii="Arial" w:hAnsi="Arial"/>
          <w:sz w:val="20"/>
        </w:rPr>
        <w:t>Pause ALL LG campaigns in Winnipeg for 2 weeks (audience cooldown)</w:t>
      </w:r>
    </w:p>
    <w:p>
      <w:pPr>
        <w:pStyle w:val="ListBullet"/>
      </w:pPr>
      <w:r>
        <w:rPr>
          <w:rFonts w:ascii="Arial" w:hAnsi="Arial"/>
          <w:sz w:val="20"/>
        </w:rPr>
        <w:t>Relaunch with CONV-only, narrower targeting (homeowners 35–55, household income filter)</w:t>
      </w:r>
    </w:p>
    <w:p>
      <w:pPr>
        <w:pStyle w:val="ListBullet"/>
      </w:pPr>
      <w:r>
        <w:rPr>
          <w:rFonts w:ascii="Arial" w:hAnsi="Arial"/>
          <w:sz w:val="20"/>
        </w:rPr>
        <w:t>Reduce Winnipeg daily budget by 40% to improve lead quality</w:t>
      </w:r>
    </w:p>
    <w:p>
      <w:pPr>
        <w:pStyle w:val="ListBullet"/>
      </w:pPr>
      <w:r>
        <w:rPr>
          <w:rFonts w:ascii="Arial" w:hAnsi="Arial"/>
          <w:sz w:val="20"/>
        </w:rPr>
        <w:t>Test exclusion audiences: exclude people who interacted with ads in last 60 days</w:t>
      </w:r>
    </w:p>
    <w:p>
      <w:pPr>
        <w:pStyle w:val="ListBullet"/>
      </w:pPr>
      <w:r>
        <w:rPr>
          <w:rFonts w:ascii="Arial" w:hAnsi="Arial"/>
          <w:sz w:val="20"/>
        </w:rPr>
        <w:t>Apply same approach to Calgary (26–32%) and Saskatoon (25–32%)</w:t>
      </w:r>
    </w:p>
    <w:p/>
    <w:p>
      <w:r>
        <w:rPr>
          <w:rFonts w:ascii="Arial" w:hAnsi="Arial"/>
          <w:b/>
          <w:sz w:val="20"/>
        </w:rPr>
        <w:t xml:space="preserve">Timeline: </w:t>
      </w:r>
      <w:r>
        <w:rPr>
          <w:rFonts w:ascii="Arial" w:hAnsi="Arial"/>
          <w:sz w:val="20"/>
        </w:rPr>
        <w:t>Week 1–3</w:t>
      </w:r>
    </w:p>
    <w:p>
      <w:r>
        <w:rPr>
          <w:rFonts w:ascii="Arial" w:hAnsi="Arial"/>
          <w:b/>
          <w:sz w:val="20"/>
        </w:rPr>
        <w:t xml:space="preserve">Owner: </w:t>
      </w:r>
      <w:r>
        <w:rPr>
          <w:rFonts w:ascii="Arial" w:hAnsi="Arial"/>
          <w:sz w:val="20"/>
        </w:rPr>
        <w:t>Media buyer</w:t>
      </w:r>
    </w:p>
    <w:p>
      <w:pPr>
        <w:pStyle w:val="Heading2"/>
      </w:pPr>
      <w:r>
        <w:t>1.4 Масштабировать то что работает</w:t>
      </w:r>
    </w:p>
    <w:p>
      <w:r>
        <w:t>Several cities dramatically improved in March 2026. Understand what changed and replicate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City</w:t>
            </w:r>
          </w:p>
        </w:tc>
        <w:tc>
          <w:tcPr>
            <w:tcW w:type="dxa" w:w="1701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Feb 2026</w:t>
            </w:r>
          </w:p>
        </w:tc>
        <w:tc>
          <w:tcPr>
            <w:tcW w:type="dxa" w:w="1701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Mar 2026</w:t>
            </w:r>
          </w:p>
        </w:tc>
        <w:tc>
          <w:tcPr>
            <w:tcW w:type="dxa" w:w="1984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Kelowna</w:t>
            </w:r>
          </w:p>
        </w:tc>
        <w:tc>
          <w:tcPr>
            <w:tcW w:type="dxa" w:w="1701"/>
            <w:shd w:fill="FDDEDE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44.8%</w:t>
            </w:r>
          </w:p>
        </w:tc>
        <w:tc>
          <w:tcPr>
            <w:tcW w:type="dxa" w:w="1701"/>
            <w:shd w:fill="D5F5D5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4.3%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8"/>
              </w:rPr>
              <w:t>↓ 40.5pp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Ottawa</w:t>
            </w:r>
          </w:p>
        </w:tc>
        <w:tc>
          <w:tcPr>
            <w:tcW w:type="dxa" w:w="1701"/>
            <w:shd w:fill="FDDEDE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29.2%</w:t>
            </w:r>
          </w:p>
        </w:tc>
        <w:tc>
          <w:tcPr>
            <w:tcW w:type="dxa" w:w="1701"/>
            <w:shd w:fill="D5F5D5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9.7%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8"/>
              </w:rPr>
              <w:t>↓ 19.5pp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Medicine Hat</w:t>
            </w:r>
          </w:p>
        </w:tc>
        <w:tc>
          <w:tcPr>
            <w:tcW w:type="dxa" w:w="1701"/>
            <w:shd w:fill="FDDEDE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46.2%</w:t>
            </w:r>
          </w:p>
        </w:tc>
        <w:tc>
          <w:tcPr>
            <w:tcW w:type="dxa" w:w="1701"/>
            <w:shd w:fill="D5F5D5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7.1%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8"/>
              </w:rPr>
              <w:t>↓ 39.1pp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Nanaimo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8"/>
              </w:rPr>
              <w:t>9.1%</w:t>
            </w:r>
          </w:p>
        </w:tc>
        <w:tc>
          <w:tcPr>
            <w:tcW w:type="dxa" w:w="1701"/>
            <w:shd w:fill="D5F5D5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5.6%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8"/>
              </w:rPr>
              <w:t>↓ 3.5pp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Regina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8"/>
              </w:rPr>
              <w:t>10.5%</w:t>
            </w:r>
          </w:p>
        </w:tc>
        <w:tc>
          <w:tcPr>
            <w:tcW w:type="dxa" w:w="1701"/>
            <w:shd w:fill="D5F5D5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9.4%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8"/>
              </w:rPr>
              <w:t>Stable low</w:t>
            </w:r>
          </w:p>
        </w:tc>
      </w:tr>
    </w:tbl>
    <w:p/>
    <w:p>
      <w:pPr>
        <w:pStyle w:val="ListBullet"/>
      </w:pPr>
      <w:r>
        <w:rPr>
          <w:rFonts w:ascii="Arial" w:hAnsi="Arial"/>
          <w:sz w:val="20"/>
        </w:rPr>
        <w:t>Audit what changed in Kelowna/Ottawa/Medicine Hat in March: creatives, offers, sales reps, scheduling</w:t>
      </w:r>
    </w:p>
    <w:p>
      <w:pPr>
        <w:pStyle w:val="ListBullet"/>
      </w:pPr>
      <w:r>
        <w:rPr>
          <w:rFonts w:ascii="Arial" w:hAnsi="Arial"/>
          <w:sz w:val="20"/>
        </w:rPr>
        <w:t>Document the winning formula and apply to Winnipeg/Calgary/Saint John</w:t>
      </w:r>
    </w:p>
    <w:p>
      <w:pPr>
        <w:pStyle w:val="ListBullet"/>
      </w:pPr>
      <w:r>
        <w:rPr>
          <w:rFonts w:ascii="Arial" w:hAnsi="Arial"/>
          <w:sz w:val="20"/>
        </w:rPr>
        <w:t>Increase budget for cities with &lt;15% cancellation (Regina, Moncton, Halifax, Victoria)</w:t>
      </w:r>
    </w:p>
    <w:p>
      <w:r>
        <w:br w:type="page"/>
      </w:r>
    </w:p>
    <w:p>
      <w:pPr>
        <w:pStyle w:val="Heading1"/>
      </w:pPr>
      <w:r>
        <w:t>2. Квалификация лидов (Lead Qualification)</w:t>
      </w:r>
    </w:p>
    <w:p>
      <w:pPr>
        <w:pStyle w:val="Heading2"/>
      </w:pPr>
      <w:r>
        <w:t>2.1 Усилить LG формы</w:t>
      </w:r>
    </w:p>
    <w:p>
      <w:r>
        <w:t>LG canc_before jumped from 14% (2025) to 25% (2026 Jan–Feb). Instant forms are generating low-intent leads.</w:t>
      </w:r>
    </w:p>
    <w:p>
      <w:pPr>
        <w:pStyle w:val="ListBullet"/>
      </w:pPr>
      <w:r>
        <w:rPr>
          <w:rFonts w:ascii="Arial" w:hAnsi="Arial"/>
          <w:sz w:val="20"/>
        </w:rPr>
        <w:t>Add qualifying questions: «Are you the homeowner?», «Timeline for window replacement?», «Approximate budget?»</w:t>
      </w:r>
    </w:p>
    <w:p>
      <w:pPr>
        <w:pStyle w:val="ListBullet"/>
      </w:pPr>
      <w:r>
        <w:rPr>
          <w:rFonts w:ascii="Arial" w:hAnsi="Arial"/>
          <w:sz w:val="20"/>
        </w:rPr>
        <w:t>Enable «Higher Intent» form setting in Meta (adds review step before submit)</w:t>
      </w:r>
    </w:p>
    <w:p>
      <w:pPr>
        <w:pStyle w:val="ListBullet"/>
      </w:pPr>
      <w:r>
        <w:rPr>
          <w:rFonts w:ascii="Arial" w:hAnsi="Arial"/>
          <w:sz w:val="20"/>
        </w:rPr>
        <w:t>Add disclaimer: «By submitting, you agree to a free in-home consultation»</w:t>
      </w:r>
    </w:p>
    <w:p>
      <w:pPr>
        <w:pStyle w:val="ListBullet"/>
      </w:pPr>
      <w:r>
        <w:rPr>
          <w:rFonts w:ascii="Arial" w:hAnsi="Arial"/>
          <w:sz w:val="20"/>
        </w:rPr>
        <w:t>Test conditional logic: if timeline = «just browsing» → redirect to educational content</w:t>
      </w:r>
    </w:p>
    <w:p>
      <w:pPr>
        <w:pStyle w:val="Heading2"/>
      </w:pPr>
      <w:r>
        <w:t>2.2 Speed-to-Lead протокол</w:t>
      </w:r>
    </w:p>
    <w:p>
      <w:r>
        <w:t>No strict SLA on first contact time. Leads that wait too long lose interest and cancel.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Timeframe</w:t>
            </w:r>
          </w:p>
        </w:tc>
        <w:tc>
          <w:tcPr>
            <w:tcW w:type="dxa" w:w="3685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134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1417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0–5 min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8"/>
              </w:rPr>
              <w:t>Auto-SMS confirmation + link to reschedule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8"/>
              </w:rPr>
              <w:t>SMS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System (auto)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5–15 min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8"/>
              </w:rPr>
              <w:t>First call attempt from sales rep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8"/>
              </w:rPr>
              <w:t>Phone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Sales rep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15–30 min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8"/>
              </w:rPr>
              <w:t>If no answer: voicemail + WhatsApp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8"/>
              </w:rPr>
              <w:t>Phone/WA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Sales rep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1 hour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8"/>
              </w:rPr>
              <w:t>Auto-email: appointment details + what to expect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8"/>
              </w:rPr>
              <w:t>Email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System (auto)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2 hours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8"/>
              </w:rPr>
              <w:t>Second call attempt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8"/>
              </w:rPr>
              <w:t>Phone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Sales rep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24 hours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8"/>
              </w:rPr>
              <w:t>If no contact: warm transfer to senior closer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8"/>
              </w:rPr>
              <w:t>Phone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Sales mgr</w:t>
            </w:r>
          </w:p>
        </w:tc>
      </w:tr>
    </w:tbl>
    <w:p/>
    <w:p>
      <w:r>
        <w:rPr>
          <w:rFonts w:ascii="Arial" w:hAnsi="Arial"/>
          <w:b/>
          <w:sz w:val="20"/>
        </w:rPr>
        <w:t xml:space="preserve">Goal: </w:t>
      </w:r>
      <w:r>
        <w:rPr>
          <w:rFonts w:ascii="Arial" w:hAnsi="Arial"/>
          <w:sz w:val="20"/>
        </w:rPr>
        <w:t>100% of leads contacted within 15 minutes during business hours</w:t>
      </w:r>
    </w:p>
    <w:p>
      <w:r>
        <w:br w:type="page"/>
      </w:r>
    </w:p>
    <w:p>
      <w:pPr>
        <w:pStyle w:val="Heading1"/>
      </w:pPr>
      <w:r>
        <w:t>3. Запись на встречу (Appointment Scheduling)</w:t>
      </w:r>
    </w:p>
    <w:p>
      <w:pPr>
        <w:pStyle w:val="Heading2"/>
      </w:pPr>
      <w:r>
        <w:t>3.1 Оптимальное окно записи</w:t>
      </w:r>
    </w:p>
    <w:p>
      <w:r>
        <w:t>Appointment timing directly impacts cancellation rates: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Days to Appointment</w:t>
            </w:r>
          </w:p>
        </w:tc>
        <w:tc>
          <w:tcPr>
            <w:tcW w:type="dxa" w:w="1701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Canc Before %</w:t>
            </w:r>
          </w:p>
        </w:tc>
        <w:tc>
          <w:tcPr>
            <w:tcW w:type="dxa" w:w="3685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0–7 days</w:t>
            </w:r>
          </w:p>
        </w:tc>
        <w:tc>
          <w:tcPr>
            <w:tcW w:type="dxa" w:w="1701"/>
            <w:shd w:fill="FDDEDE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25.5%</w:t>
            </w:r>
          </w:p>
        </w:tc>
        <w:tc>
          <w:tcPr>
            <w:tcW w:type="dxa" w:w="3685"/>
            <w:shd w:fill="FDDEDE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TOO SOON — lead not ready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8–14 days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8"/>
              </w:rPr>
              <w:t>20.3%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8"/>
              </w:rPr>
              <w:t>Acceptable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15–21 days</w:t>
            </w:r>
          </w:p>
        </w:tc>
        <w:tc>
          <w:tcPr>
            <w:tcW w:type="dxa" w:w="1701"/>
            <w:shd w:fill="D5F5D5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19.7%</w:t>
            </w:r>
          </w:p>
        </w:tc>
        <w:tc>
          <w:tcPr>
            <w:tcW w:type="dxa" w:w="3685"/>
            <w:shd w:fill="D5F5D5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GOOD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22–30 days</w:t>
            </w:r>
          </w:p>
        </w:tc>
        <w:tc>
          <w:tcPr>
            <w:tcW w:type="dxa" w:w="1701"/>
            <w:shd w:fill="D5F5D5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18.7%</w:t>
            </w:r>
          </w:p>
        </w:tc>
        <w:tc>
          <w:tcPr>
            <w:tcW w:type="dxa" w:w="3685"/>
            <w:shd w:fill="D5F5D5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BEST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31+ days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23.0%</w:t>
            </w:r>
          </w:p>
        </w:tc>
        <w:tc>
          <w:tcPr>
            <w:tcW w:type="dxa" w:w="3685"/>
            <w:shd w:fill="FFF3C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TOO FAR — loses momentum</w:t>
            </w:r>
          </w:p>
        </w:tc>
      </w:tr>
    </w:tbl>
    <w:p/>
    <w:p>
      <w:pPr>
        <w:pStyle w:val="ListBullet"/>
      </w:pPr>
      <w:r>
        <w:rPr>
          <w:rFonts w:ascii="Arial" w:hAnsi="Arial"/>
          <w:sz w:val="20"/>
        </w:rPr>
        <w:t>Set scheduling rule: minimum 7 days out, ideal 10–25 days</w:t>
      </w:r>
    </w:p>
    <w:p>
      <w:pPr>
        <w:pStyle w:val="ListBullet"/>
      </w:pPr>
      <w:r>
        <w:rPr>
          <w:rFonts w:ascii="Arial" w:hAnsi="Arial"/>
          <w:sz w:val="20"/>
        </w:rPr>
        <w:t>Remove next-day / same-week slots from the booking calendar</w:t>
      </w:r>
    </w:p>
    <w:p>
      <w:pPr>
        <w:pStyle w:val="ListBullet"/>
      </w:pPr>
      <w:r>
        <w:rPr>
          <w:rFonts w:ascii="Arial" w:hAnsi="Arial"/>
          <w:sz w:val="20"/>
        </w:rPr>
        <w:t>If appointment is 25+ days out, add extra touchpoint at Day 14</w:t>
      </w:r>
    </w:p>
    <w:p>
      <w:pPr>
        <w:pStyle w:val="ListBullet"/>
      </w:pPr>
      <w:r>
        <w:rPr>
          <w:rFonts w:ascii="Arial" w:hAnsi="Arial"/>
          <w:sz w:val="20"/>
        </w:rPr>
        <w:t>Track «days to appointment» as a KPI for sales reps</w:t>
      </w:r>
    </w:p>
    <w:p>
      <w:r>
        <w:rPr>
          <w:rFonts w:ascii="Arial" w:hAnsi="Arial"/>
          <w:b/>
          <w:sz w:val="20"/>
        </w:rPr>
        <w:t xml:space="preserve">Timeline: </w:t>
      </w:r>
      <w:r>
        <w:rPr>
          <w:rFonts w:ascii="Arial" w:hAnsi="Arial"/>
          <w:sz w:val="20"/>
        </w:rPr>
        <w:t>Week 1 (calendar configuration)</w:t>
      </w:r>
    </w:p>
    <w:p>
      <w:r>
        <w:rPr>
          <w:rFonts w:ascii="Arial" w:hAnsi="Arial"/>
          <w:b/>
          <w:sz w:val="20"/>
        </w:rPr>
        <w:t xml:space="preserve">Owner: </w:t>
      </w:r>
      <w:r>
        <w:rPr>
          <w:rFonts w:ascii="Arial" w:hAnsi="Arial"/>
          <w:sz w:val="20"/>
        </w:rPr>
        <w:t>Sales operations / CRM admin</w:t>
      </w:r>
    </w:p>
    <w:p>
      <w:r>
        <w:br w:type="page"/>
      </w:r>
    </w:p>
    <w:p>
      <w:pPr>
        <w:pStyle w:val="Heading1"/>
      </w:pPr>
      <w:r>
        <w:t>4. Коммуникация (Communication Plan)</w:t>
      </w:r>
    </w:p>
    <w:p>
      <w:pPr>
        <w:pStyle w:val="Heading2"/>
      </w:pPr>
      <w:r>
        <w:t>4.1 Автоматические триггеры (SMS + Email + WhatsApp)</w:t>
      </w:r>
    </w:p>
    <w:p>
      <w:r>
        <w:t>Multi-touch automated sequence from booking to appointment day: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1134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3118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Message</w:t>
            </w:r>
          </w:p>
        </w:tc>
        <w:tc>
          <w:tcPr>
            <w:tcW w:type="dxa" w:w="1984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Goal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Instant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8"/>
              </w:rPr>
              <w:t>SMS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sz w:val="18"/>
              </w:rPr>
              <w:t>Thanks! Consultation booked for [DATE]. Reply CONFIRM to lock your slot.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8"/>
              </w:rPr>
              <w:t>Micro-commitment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+1 hour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8"/>
              </w:rPr>
              <w:t>Email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sz w:val="18"/>
              </w:rPr>
              <w:t>Welcome: what to expect, consultant photo, reviews, «prepare your questions»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8"/>
              </w:rPr>
              <w:t>Build trust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+24 hours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8"/>
              </w:rPr>
              <w:t>SMS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sz w:val="18"/>
              </w:rPr>
              <w:t>Any questions before your consultation on [DATE]? Reply or call [PHONE]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8"/>
              </w:rPr>
              <w:t>Engagement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7 days before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8"/>
              </w:rPr>
              <w:t>Email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sz w:val="18"/>
              </w:rPr>
              <w:t>3 things to think about + customer success story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8"/>
              </w:rPr>
              <w:t>Value reinforcement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3 days before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8"/>
              </w:rPr>
              <w:t>SMS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sz w:val="18"/>
              </w:rPr>
              <w:t>Consultation in 3 days on [DATE] at [TIME]. Need to reschedule? [LINK]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8"/>
              </w:rPr>
              <w:t>Soft confirm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1 day before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8"/>
              </w:rPr>
              <w:t>SMS+Email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sz w:val="18"/>
              </w:rPr>
              <w:t>Tomorrow! Specialist [NAME] at [TIME]. ~45–60 min visit.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8"/>
              </w:rPr>
              <w:t>Final confirm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Morning of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8"/>
              </w:rPr>
              <w:t>SMS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sz w:val="18"/>
              </w:rPr>
              <w:t>Today! [NAME] is on the way. ETA: [TIME]. Questions? [PHONE]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8"/>
              </w:rPr>
              <w:t>Prevent no-show</w:t>
            </w:r>
          </w:p>
        </w:tc>
      </w:tr>
    </w:tbl>
    <w:p>
      <w:pPr>
        <w:pStyle w:val="Heading2"/>
      </w:pPr>
      <w:r>
        <w:t>4.2 Персональный звонок-подтверждение</w:t>
      </w:r>
    </w:p>
    <w:p>
      <w:r>
        <w:t>Automated messages are not enough. A personal call from the assigned consultant dramatically reduces cancellations.</w:t>
      </w:r>
    </w:p>
    <w:p>
      <w:pPr>
        <w:pStyle w:val="ListBullet"/>
      </w:pPr>
      <w:r>
        <w:rPr>
          <w:rFonts w:ascii="Arial" w:hAnsi="Arial"/>
          <w:sz w:val="20"/>
        </w:rPr>
        <w:t>3–5 days before: consultant calls to introduce themselves, ask about needs, confirm</w:t>
      </w:r>
    </w:p>
    <w:p>
      <w:pPr>
        <w:pStyle w:val="ListBullet"/>
      </w:pPr>
      <w:r>
        <w:rPr>
          <w:rFonts w:ascii="Arial" w:hAnsi="Arial"/>
          <w:sz w:val="20"/>
        </w:rPr>
        <w:t>Script: «Hi [NAME], this is [CONSULTANT] from Ecoline. I'll be visiting you on [DATE]. What rooms are the windows for? Any specific concerns?»</w:t>
      </w:r>
    </w:p>
    <w:p>
      <w:pPr>
        <w:pStyle w:val="ListBullet"/>
      </w:pPr>
      <w:r>
        <w:rPr>
          <w:rFonts w:ascii="Arial" w:hAnsi="Arial"/>
          <w:sz w:val="20"/>
        </w:rPr>
        <w:t>If voicemail: leave personal message + follow up with WhatsApp voice note</w:t>
      </w:r>
    </w:p>
    <w:p>
      <w:pPr>
        <w:pStyle w:val="ListBullet"/>
      </w:pPr>
      <w:r>
        <w:rPr>
          <w:rFonts w:ascii="Arial" w:hAnsi="Arial"/>
          <w:sz w:val="20"/>
        </w:rPr>
        <w:t>Log call outcome in CRM. If «hesitant» → escalate to sales manager for rescue call</w:t>
      </w:r>
    </w:p>
    <w:p/>
    <w:p>
      <w:r>
        <w:rPr>
          <w:rFonts w:ascii="Arial" w:hAnsi="Arial"/>
          <w:b/>
          <w:sz w:val="20"/>
        </w:rPr>
        <w:t xml:space="preserve">Key insight: </w:t>
      </w:r>
      <w:r>
        <w:rPr>
          <w:rFonts w:ascii="Arial" w:hAnsi="Arial"/>
          <w:sz w:val="20"/>
        </w:rPr>
        <w:t>This call confirms the appointment AND pre-qualifies the lead, saving time on bad visits.</w:t>
      </w:r>
    </w:p>
    <w:p>
      <w:pPr>
        <w:pStyle w:val="Heading2"/>
      </w:pPr>
      <w:r>
        <w:t>4.3 Рескью-процесс при отмене</w:t>
      </w:r>
    </w:p>
    <w:p>
      <w:r>
        <w:t>When someone attempts to cancel, don't accept it immediately. Implement a save flow:</w:t>
      </w:r>
    </w:p>
    <w:p>
      <w:pPr>
        <w:pStyle w:val="ListBullet"/>
      </w:pPr>
      <w:r>
        <w:rPr>
          <w:rFonts w:ascii="Arial" w:hAnsi="Arial"/>
          <w:sz w:val="20"/>
        </w:rPr>
        <w:t>Step 1: «What made you reconsider?» — log the reason (budget, timing, spouse, competitor, just browsing)</w:t>
      </w:r>
    </w:p>
    <w:p>
      <w:pPr>
        <w:pStyle w:val="ListBullet"/>
      </w:pPr>
      <w:r>
        <w:rPr>
          <w:rFonts w:ascii="Arial" w:hAnsi="Arial"/>
          <w:sz w:val="20"/>
        </w:rPr>
        <w:t>Step 2: Timing → reschedule. Budget → mention financing. Spouse → offer evening/weekend slot</w:t>
      </w:r>
    </w:p>
    <w:p>
      <w:pPr>
        <w:pStyle w:val="ListBullet"/>
      </w:pPr>
      <w:r>
        <w:rPr>
          <w:rFonts w:ascii="Arial" w:hAnsi="Arial"/>
          <w:sz w:val="20"/>
        </w:rPr>
        <w:t>Step 3: If still cancelling → offer shorter 20-min virtual consultation as alternative</w:t>
      </w:r>
    </w:p>
    <w:p>
      <w:pPr>
        <w:pStyle w:val="ListBullet"/>
      </w:pPr>
      <w:r>
        <w:rPr>
          <w:rFonts w:ascii="Arial" w:hAnsi="Arial"/>
          <w:sz w:val="20"/>
        </w:rPr>
        <w:t>Step 4: If fully cancelled → add to nurture sequence (monthly email with seasonal offers for 6 months)</w:t>
      </w:r>
    </w:p>
    <w:p/>
    <w:p>
      <w:r>
        <w:rPr>
          <w:rFonts w:ascii="Arial" w:hAnsi="Arial"/>
          <w:b/>
          <w:sz w:val="20"/>
        </w:rPr>
        <w:t xml:space="preserve">Target: </w:t>
      </w:r>
      <w:r>
        <w:rPr>
          <w:rFonts w:ascii="Arial" w:hAnsi="Arial"/>
          <w:sz w:val="20"/>
        </w:rPr>
        <w:t>Save 30–40% of cancellation attempts through rescue process</w:t>
      </w:r>
    </w:p>
    <w:p>
      <w:r>
        <w:br w:type="page"/>
      </w:r>
    </w:p>
    <w:p>
      <w:pPr>
        <w:pStyle w:val="Heading1"/>
      </w:pPr>
      <w:r>
        <w:t>5. Операционные изменения (Sales Operations)</w:t>
      </w:r>
    </w:p>
    <w:p>
      <w:pPr>
        <w:pStyle w:val="Heading2"/>
      </w:pPr>
      <w:r>
        <w:t>5.1 Мониторинг по городам и репам</w:t>
      </w:r>
    </w:p>
    <w:p>
      <w:pPr>
        <w:pStyle w:val="ListBullet"/>
      </w:pPr>
      <w:r>
        <w:rPr>
          <w:rFonts w:ascii="Arial" w:hAnsi="Arial"/>
          <w:sz w:val="20"/>
        </w:rPr>
        <w:t>Add canc_before_rate as a weekly KPI in the dashboard, broken down by city and sales rep</w:t>
      </w:r>
    </w:p>
    <w:p>
      <w:pPr>
        <w:pStyle w:val="ListBullet"/>
      </w:pPr>
      <w:r>
        <w:rPr>
          <w:rFonts w:ascii="Arial" w:hAnsi="Arial"/>
          <w:sz w:val="20"/>
        </w:rPr>
        <w:t>Set alert threshold: if any city exceeds 25% for 2 consecutive weeks → automatic review</w:t>
      </w:r>
    </w:p>
    <w:p>
      <w:pPr>
        <w:pStyle w:val="ListBullet"/>
      </w:pPr>
      <w:r>
        <w:rPr>
          <w:rFonts w:ascii="Arial" w:hAnsi="Arial"/>
          <w:sz w:val="20"/>
        </w:rPr>
        <w:t>Monthly review of rep-level cancellation rates — identify if specific reps have higher cancellation</w:t>
      </w:r>
    </w:p>
    <w:p>
      <w:pPr>
        <w:pStyle w:val="Heading2"/>
      </w:pPr>
      <w:r>
        <w:t>5.2 CRM автоматизация</w:t>
      </w:r>
    </w:p>
    <w:p>
      <w:pPr>
        <w:pStyle w:val="ListBullet"/>
      </w:pPr>
      <w:r>
        <w:rPr>
          <w:rFonts w:ascii="Arial" w:hAnsi="Arial"/>
          <w:sz w:val="20"/>
        </w:rPr>
        <w:t>Auto-tag leads by source (LG vs CONV), offer type, and city</w:t>
      </w:r>
    </w:p>
    <w:p>
      <w:pPr>
        <w:pStyle w:val="ListBullet"/>
      </w:pPr>
      <w:r>
        <w:rPr>
          <w:rFonts w:ascii="Arial" w:hAnsi="Arial"/>
          <w:sz w:val="20"/>
        </w:rPr>
        <w:t>Build «cancellation risk score»: Winnipeg + Seniors + LG + 0–7 day appt = HIGH RISK → priority personal call</w:t>
      </w:r>
    </w:p>
    <w:p>
      <w:pPr>
        <w:pStyle w:val="ListBullet"/>
      </w:pPr>
      <w:r>
        <w:rPr>
          <w:rFonts w:ascii="Arial" w:hAnsi="Arial"/>
          <w:sz w:val="20"/>
        </w:rPr>
        <w:t>Auto-assign high-risk leads to top-performing closers instead of round-robin</w:t>
      </w:r>
    </w:p>
    <w:p>
      <w:pPr>
        <w:pStyle w:val="Heading2"/>
      </w:pPr>
      <w:r>
        <w:t>5.3 Обучение команды</w:t>
      </w:r>
    </w:p>
    <w:p>
      <w:pPr>
        <w:pStyle w:val="ListBullet"/>
      </w:pPr>
      <w:r>
        <w:rPr>
          <w:rFonts w:ascii="Arial" w:hAnsi="Arial"/>
          <w:sz w:val="20"/>
        </w:rPr>
        <w:t>Share this analysis with the sales team — they need to understand the data</w:t>
      </w:r>
    </w:p>
    <w:p>
      <w:pPr>
        <w:pStyle w:val="ListBullet"/>
      </w:pPr>
      <w:r>
        <w:rPr>
          <w:rFonts w:ascii="Arial" w:hAnsi="Arial"/>
          <w:sz w:val="20"/>
        </w:rPr>
        <w:t>Train reps on the confirmation call script (section 4.2)</w:t>
      </w:r>
    </w:p>
    <w:p>
      <w:pPr>
        <w:pStyle w:val="ListBullet"/>
      </w:pPr>
      <w:r>
        <w:rPr>
          <w:rFonts w:ascii="Arial" w:hAnsi="Arial"/>
          <w:sz w:val="20"/>
        </w:rPr>
        <w:t>Train reps on the rescue/save process (section 4.3)</w:t>
      </w:r>
    </w:p>
    <w:p>
      <w:pPr>
        <w:pStyle w:val="ListBullet"/>
      </w:pPr>
      <w:r>
        <w:rPr>
          <w:rFonts w:ascii="Arial" w:hAnsi="Arial"/>
          <w:sz w:val="20"/>
        </w:rPr>
        <w:t>Introduce incentive: bonus for reps whose appointments have &lt;15% cancellation rate</w:t>
      </w:r>
    </w:p>
    <w:p>
      <w:r>
        <w:br w:type="page"/>
      </w:r>
    </w:p>
    <w:p>
      <w:pPr>
        <w:pStyle w:val="Heading1"/>
      </w:pPr>
      <w:r>
        <w:t>6.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134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Timeframe</w:t>
            </w:r>
          </w:p>
        </w:tc>
        <w:tc>
          <w:tcPr>
            <w:tcW w:type="dxa" w:w="340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1701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Expected Impact</w:t>
            </w:r>
          </w:p>
        </w:tc>
      </w:tr>
      <w:tr>
        <w:tc>
          <w:tcPr>
            <w:tcW w:type="dxa" w:w="1417"/>
            <w:shd w:fill="FDDEDE" w:val="clear"/>
          </w:tcPr>
          <w:p>
            <w:r/>
            <w:r>
              <w:rPr>
                <w:rFonts w:ascii="Arial" w:hAnsi="Arial"/>
                <w:b/>
                <w:sz w:val="18"/>
              </w:rPr>
              <w:t>IMMEDIATE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8"/>
              </w:rPr>
              <w:t>Week 1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Pause bad creatives (1.1)</w:t>
              <w:br/>
              <w:t>Set scheduling rules (3.1)</w:t>
              <w:br/>
              <w:t>Launch auto-SMS on booking (4.1)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−3–5pp canc rate</w:t>
            </w:r>
          </w:p>
        </w:tc>
      </w:tr>
      <w:tr>
        <w:tc>
          <w:tcPr>
            <w:tcW w:type="dxa" w:w="1417"/>
            <w:shd w:fill="FFF3CD" w:val="clear"/>
          </w:tcPr>
          <w:p>
            <w:r/>
            <w:r>
              <w:rPr>
                <w:rFonts w:ascii="Arial" w:hAnsi="Arial"/>
                <w:b/>
                <w:sz w:val="18"/>
              </w:rPr>
              <w:t>SHORT-TERM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8"/>
              </w:rPr>
              <w:t>Week 2–4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Restructure Seniors (1.2)</w:t>
              <w:br/>
              <w:t>Fix Winnipeg/Calgary (1.3)</w:t>
              <w:br/>
              <w:t>Full comm sequence (4.1–4.2)</w:t>
              <w:br/>
              <w:t>Speed-to-lead protocol (2.2)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−5–8pp canc rate</w:t>
            </w:r>
          </w:p>
        </w:tc>
      </w:tr>
      <w:tr>
        <w:tc>
          <w:tcPr>
            <w:tcW w:type="dxa" w:w="1417"/>
            <w:shd w:fill="D5F5D5" w:val="clear"/>
          </w:tcPr>
          <w:p>
            <w:r/>
            <w:r>
              <w:rPr>
                <w:rFonts w:ascii="Arial" w:hAnsi="Arial"/>
                <w:b/>
                <w:sz w:val="18"/>
              </w:rPr>
              <w:t>MEDIUM-TERM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8"/>
              </w:rPr>
              <w:t>Month 2–3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LG form qualification (2.1)</w:t>
              <w:br/>
              <w:t>Rescue process (4.3)</w:t>
              <w:br/>
              <w:t>CRM automation (5.2)</w:t>
              <w:br/>
              <w:t>Scale winning cities (1.4)</w:t>
              <w:br/>
              <w:t>Rep training (5.3)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Target: &lt;15% overall</w:t>
            </w:r>
          </w:p>
        </w:tc>
      </w:tr>
      <w:tr>
        <w:tc>
          <w:tcPr>
            <w:tcW w:type="dxa" w:w="1417"/>
            <w:shd w:fill="E8E8E8" w:val="clear"/>
          </w:tcPr>
          <w:p>
            <w:r/>
            <w:r>
              <w:rPr>
                <w:rFonts w:ascii="Arial" w:hAnsi="Arial"/>
                <w:b/>
                <w:sz w:val="18"/>
              </w:rPr>
              <w:t>ONGOING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Weekly KPI monitoring (5.1)</w:t>
              <w:br/>
              <w:t>Monthly city/offer review</w:t>
              <w:br/>
              <w:t>A/B test new creatives</w:t>
              <w:br/>
              <w:t>Nurture cancelled leads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Sustain &lt;15%</w:t>
            </w:r>
          </w:p>
        </w:tc>
      </w:tr>
    </w:tbl>
    <w:p/>
    <w:p>
      <w:pPr>
        <w:pStyle w:val="Heading2"/>
      </w:pPr>
      <w:r>
        <w:t>Целевые показатели (Target 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268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Current (Jan–Feb 2026)</w:t>
            </w:r>
          </w:p>
        </w:tc>
        <w:tc>
          <w:tcPr>
            <w:tcW w:type="dxa" w:w="2551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Target (June 2026)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Overall canc_before rate</w:t>
            </w:r>
          </w:p>
        </w:tc>
        <w:tc>
          <w:tcPr>
            <w:tcW w:type="dxa" w:w="2268"/>
            <w:shd w:fill="FDDEDE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24.7%</w:t>
            </w:r>
          </w:p>
        </w:tc>
        <w:tc>
          <w:tcPr>
            <w:tcW w:type="dxa" w:w="2551"/>
            <w:shd w:fill="D5F5D5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&lt;15%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Winnipeg canc_before</w:t>
            </w:r>
          </w:p>
        </w:tc>
        <w:tc>
          <w:tcPr>
            <w:tcW w:type="dxa" w:w="2268"/>
            <w:shd w:fill="FDDEDE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41.4%</w:t>
            </w:r>
          </w:p>
        </w:tc>
        <w:tc>
          <w:tcPr>
            <w:tcW w:type="dxa" w:w="2551"/>
            <w:shd w:fill="D5F5D5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&lt;20%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Seniors canc_before</w:t>
            </w:r>
          </w:p>
        </w:tc>
        <w:tc>
          <w:tcPr>
            <w:tcW w:type="dxa" w:w="2268"/>
            <w:shd w:fill="FDDEDE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31.6%</w:t>
            </w:r>
          </w:p>
        </w:tc>
        <w:tc>
          <w:tcPr>
            <w:tcW w:type="dxa" w:w="2551"/>
            <w:shd w:fill="D5F5D5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&lt;20%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Speed to first contact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Unknown</w:t>
            </w:r>
          </w:p>
        </w:tc>
        <w:tc>
          <w:tcPr>
            <w:tcW w:type="dxa" w:w="2551"/>
            <w:shd w:fill="D5F5D5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&lt;15 min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Confirmation call completion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0%</w:t>
            </w:r>
          </w:p>
        </w:tc>
        <w:tc>
          <w:tcPr>
            <w:tcW w:type="dxa" w:w="2551"/>
            <w:shd w:fill="D5F5D5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&gt;80%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Cancellation save rate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0%</w:t>
            </w:r>
          </w:p>
        </w:tc>
        <w:tc>
          <w:tcPr>
            <w:tcW w:type="dxa" w:w="2551"/>
            <w:shd w:fill="D5F5D5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&gt;30%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