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D7BFE65" w14:textId="77777777" w:rsidR="00FD78DA" w:rsidRPr="00FD78DA" w:rsidRDefault="00FD78DA" w:rsidP="00FD78DA">
      <w:r w:rsidRPr="00FD78DA">
        <w:t>Y después de todo esto...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sencilla: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¿Qué queremos dejarles?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aquella primera pregunta:</w:t>
      </w:r>
    </w:p>
    <w:p w14:paraId="3BF2557C" w14:textId="77777777" w:rsidR="00587F1A" w:rsidRPr="00587F1A" w:rsidRDefault="00587F1A" w:rsidP="00587F1A">
      <w:r w:rsidRPr="00587F1A">
        <w:rPr>
          <w:b/>
          <w:bCs/>
        </w:rPr>
        <w:t>«¿Qué podemos hacer nosotros?»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