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eso?»)</w:t>
      </w:r>
    </w:p>
    <w:p w:rsidR="003352F1" w:rsidRPr="003352F1" w:rsidRDefault="003352F1" w:rsidP="003352F1">
      <w:r w:rsidRPr="003352F1">
        <w:rPr>
          <w:i/>
          <w:iCs/>
        </w:rPr>
        <w:t xml:space="preserve">(Acusa recibo en una frase —«sí, te entiendo», «claro»— y entra directamente en la ruta que corresponda. No adelantes contenido: la ruta abre con esa misma idea.)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:rsidR="003352F1" w:rsidRPr="003352F1" w:rsidRDefault="003352F1" w:rsidP="003352F1">
      <w:r w:rsidRPr="003352F1">
        <w:rPr>
          <w:b/>
          <w:bCs/>
        </w:rPr>
        <w:t xml:space="preserve">🐾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cuando alguien sostiene el trabajo el tiempo suficiente, las cosas cambian. Con el tigre ha pasado. Con el visón todavía no.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14:paraId="7EB612CF" w14:textId="77777777" w:rsidR="00587F1A" w:rsidRPr="00587F1A" w:rsidRDefault="00587F1A" w:rsidP="00587F1A">
      <w:r w:rsidRPr="00587F1A">
        <w:t xml:space="preserve">Y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