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line="276"/>
        <w:jc w:val="center"/>
      </w:pPr>
      <w:r>
        <w:rPr>
          <w:rFonts w:ascii="Calibri" w:cs="Calibri" w:eastAsia="Calibri" w:hAnsi="Calibri"/>
          <w:b/>
          <w:bCs/>
          <w:color w:val="595959"/>
          <w:sz w:val="24"/>
          <w:szCs w:val="24"/>
        </w:rPr>
        <w:t xml:space="preserve">BAHAN PENYUSUNAN KERANGKA ACUAN KERJA (KAK)</w:t>
      </w:r>
    </w:p>
    <w:p>
      <w:pPr>
        <w:spacing w:after="460" w:line="276"/>
        <w:jc w:val="center"/>
      </w:pPr>
      <w:r>
        <w:rPr>
          <w:rFonts w:ascii="Calibri" w:cs="Calibri" w:eastAsia="Calibri" w:hAnsi="Calibri"/>
          <w:color w:val="595959"/>
          <w:sz w:val="22"/>
          <w:szCs w:val="22"/>
        </w:rPr>
        <w:t xml:space="preserve">Data Teknis Sistem</w:t>
      </w:r>
    </w:p>
    <w:p>
      <w:pPr>
        <w:spacing w:after="160"/>
        <w:jc w:val="center"/>
      </w:pPr>
      <w:r>
        <w:rPr>
          <w:rFonts w:ascii="Calibri" w:cs="Calibri" w:eastAsia="Calibri" w:hAnsi="Calibri"/>
          <w:b/>
          <w:bCs/>
          <w:color w:val="1F4E79"/>
          <w:sz w:val="56"/>
          <w:szCs w:val="56"/>
        </w:rPr>
        <w:t xml:space="preserve">JP-INSIGHT</w:t>
      </w:r>
    </w:p>
    <w:p>
      <w:pPr>
        <w:spacing w:after="60" w:line="276"/>
        <w:jc w:val="center"/>
      </w:pPr>
      <w:r>
        <w:rPr>
          <w:rFonts w:ascii="Calibri" w:cs="Calibri" w:eastAsia="Calibri" w:hAnsi="Calibri"/>
          <w:b/>
          <w:bCs/>
          <w:sz w:val="26"/>
          <w:szCs w:val="26"/>
        </w:rPr>
        <w:t xml:space="preserve">Sistem Referensi dan Pendukung Keputusan Berbasis Pengetahuan</w:t>
      </w:r>
    </w:p>
    <w:p>
      <w:pPr>
        <w:spacing w:after="700" w:line="276"/>
        <w:jc w:val="center"/>
      </w:pPr>
      <w:r>
        <w:rPr>
          <w:rFonts w:ascii="Calibri" w:cs="Calibri" w:eastAsia="Calibri" w:hAnsi="Calibri"/>
          <w:color w:val="595959"/>
          <w:sz w:val="24"/>
          <w:szCs w:val="24"/>
        </w:rPr>
        <w:t xml:space="preserve">Jurnal Permukiman — Bidang Pekerjaan Umum</w:t>
      </w:r>
    </w:p>
    <w:p>
      <w:pPr>
        <w:pBdr>
          <w:bottom w:val="single" w:color="1F4E79" w:sz="12" w:space="6"/>
        </w:pBdr>
        <w:spacing w:after="240"/>
        <w:jc w:val="center"/>
      </w:pPr>
    </w:p>
    <w:p>
      <w:pPr>
        <w:spacing w:after="600" w:line="276"/>
        <w:jc w:val="center"/>
      </w:pPr>
      <w:r>
        <w:rPr>
          <w:rFonts w:ascii="Calibri" w:cs="Calibri" w:eastAsia="Calibri" w:hAnsi="Calibri"/>
          <w:i/>
          <w:iCs/>
          <w:color w:val="595959"/>
          <w:sz w:val="22"/>
          <w:szCs w:val="22"/>
        </w:rPr>
        <w:t xml:space="preserve">Proses Bisnis  ·  Single Sign On  ·  Fitur  ·  Sumber Data</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808"/>
        <w:gridCol w:w="6552"/>
      </w:tblGrid>
      <w:tr>
        <w:trPr>
          <w:tblHeader/>
        </w:trPr>
        <w:tc>
          <w:tcPr>
            <w:tcW w:type="dxa" w:w="2808"/>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Perihal</w:t>
            </w:r>
          </w:p>
        </w:tc>
        <w:tc>
          <w:tcPr>
            <w:tcW w:type="dxa" w:w="6552"/>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Keterangan</w:t>
            </w:r>
          </w:p>
        </w:tc>
      </w:tr>
      <w:tr>
        <w:tc>
          <w:tcPr>
            <w:tcW w:type="dxa" w:w="280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Nama Sistem</w:t>
            </w:r>
          </w:p>
        </w:tc>
        <w:tc>
          <w:tcPr>
            <w:tcW w:type="dxa" w:w="655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JP-Insight — Knowledge System Jurnal Permukiman</w:t>
            </w:r>
          </w:p>
        </w:tc>
      </w:tr>
      <w:tr>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 Utama</w:t>
            </w:r>
          </w:p>
        </w:tc>
        <w:tc>
          <w:tcPr>
            <w:tcW w:type="dxa" w:w="655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Peneliti dan penulis naskah bidang ke-PU-an</w:t>
            </w:r>
          </w:p>
        </w:tc>
      </w:tr>
      <w:tr>
        <w:tc>
          <w:tcPr>
            <w:tcW w:type="dxa" w:w="280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Status Sistem</w:t>
            </w:r>
          </w:p>
        </w:tc>
        <w:tc>
          <w:tcPr>
            <w:tcW w:type="dxa" w:w="655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Beroperasi — 210 naskah terindeks penuh</w:t>
            </w:r>
          </w:p>
        </w:tc>
      </w:tr>
      <w:tr>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Platform</w:t>
            </w:r>
          </w:p>
        </w:tc>
        <w:tc>
          <w:tcPr>
            <w:tcW w:type="dxa" w:w="655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Aplikasi web (Next.js) di atas Supabase Postgres + pgvector</w:t>
            </w:r>
          </w:p>
        </w:tc>
      </w:tr>
      <w:tr>
        <w:tc>
          <w:tcPr>
            <w:tcW w:type="dxa" w:w="280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Peruntukan Dokumen</w:t>
            </w:r>
          </w:p>
        </w:tc>
        <w:tc>
          <w:tcPr>
            <w:tcW w:type="dxa" w:w="655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Bahan penyusunan Kerangka Acuan Kerja (KAK)</w:t>
            </w:r>
          </w:p>
        </w:tc>
      </w:tr>
      <w:tr>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Status Dokumen</w:t>
            </w:r>
          </w:p>
        </w:tc>
        <w:tc>
          <w:tcPr>
            <w:tcW w:type="dxa" w:w="655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Draf untuk pembahasan</w:t>
            </w:r>
          </w:p>
        </w:tc>
      </w:tr>
      <w:tr>
        <w:tc>
          <w:tcPr>
            <w:tcW w:type="dxa" w:w="280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Versi / Tanggal</w:t>
            </w:r>
          </w:p>
        </w:tc>
        <w:tc>
          <w:tcPr>
            <w:tcW w:type="dxa" w:w="655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1.0  ·  14 September 2026</w:t>
            </w:r>
          </w:p>
        </w:tc>
      </w:tr>
    </w:tbl>
    <w:p>
      <w:r>
        <w:br w:type="page"/>
      </w:r>
    </w:p>
    <w:p>
      <w:pPr>
        <w:pStyle w:val="Heading1"/>
        <w:spacing w:after="140" w:before="280"/>
      </w:pPr>
      <w:r>
        <w:rPr>
          <w:rFonts w:ascii="Calibri" w:cs="Calibri" w:eastAsia="Calibri" w:hAnsi="Calibri"/>
          <w:b/>
          <w:bCs/>
          <w:color w:val="1F4E79"/>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4E79"/>
          <w:sz w:val="30"/>
          <w:szCs w:val="30"/>
        </w:rPr>
        <w:t xml:space="preserve">1. Pendahuluan</w:t>
      </w:r>
    </w:p>
    <w:p>
      <w:pPr>
        <w:spacing w:after="120" w:line="276"/>
      </w:pPr>
      <w:r>
        <w:rPr>
          <w:rFonts w:ascii="Calibri" w:cs="Calibri" w:eastAsia="Calibri" w:hAnsi="Calibri"/>
          <w:sz w:val="22"/>
          <w:szCs w:val="22"/>
        </w:rPr>
        <w:t xml:space="preserve">Dokumen ini memuat data teknis Sistem JP-Insight sebagai bahan penyusunan Kerangka Acuan Kerja: proses bisnis yang berjalan, mekanisme autentikasi pengguna, inventaris fitur, dan sumber data yang digunakan.</w:t>
      </w:r>
    </w:p>
    <w:p>
      <w:pPr>
        <w:spacing w:after="120" w:line="276"/>
      </w:pPr>
      <w:r>
        <w:rPr>
          <w:rFonts w:ascii="Calibri" w:cs="Calibri" w:eastAsia="Calibri" w:hAnsi="Calibri"/>
          <w:sz w:val="22"/>
          <w:szCs w:val="22"/>
        </w:rPr>
        <w:t xml:space="preserve">Seluruh uraian disusun berdasarkan kondisi sistem yang sedang berjalan. Bagian yang belum terbangun dinyatakan secara tegas sebagai rancangan atau kebutuhan pekerjaan, tidak dicampur dengan yang sudah tersedia. Pembedaan ini penting agar lingkup pekerjaan dalam KAK tidak mencantumkan hal yang sebenarnya sudah selesai, maupun sebaliknya.</w:t>
      </w:r>
    </w:p>
    <w:p>
      <w:pPr>
        <w:spacing w:after="120"/>
      </w:pPr>
    </w:p>
    <w:p>
      <w:pPr>
        <w:pStyle w:val="Heading2"/>
        <w:spacing w:after="140" w:before="280"/>
      </w:pPr>
      <w:r>
        <w:rPr>
          <w:rFonts w:ascii="Calibri" w:cs="Calibri" w:eastAsia="Calibri" w:hAnsi="Calibri"/>
          <w:b/>
          <w:bCs/>
          <w:color w:val="1F4E79"/>
          <w:sz w:val="25"/>
          <w:szCs w:val="25"/>
        </w:rPr>
        <w:t xml:space="preserve">1.1 Peta Penggunaan dalam KAK</w:t>
      </w:r>
    </w:p>
    <w:p>
      <w:pPr>
        <w:spacing w:after="120" w:line="276"/>
      </w:pPr>
      <w:r>
        <w:rPr>
          <w:rFonts w:ascii="Calibri" w:cs="Calibri" w:eastAsia="Calibri" w:hAnsi="Calibri"/>
          <w:sz w:val="22"/>
          <w:szCs w:val="22"/>
        </w:rPr>
        <w:t xml:space="preserve">Tiap bab dokumen ini disiapkan untuk mengisi bagian KAK sebagai berikut: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46"/>
        <w:gridCol w:w="3744"/>
        <w:gridCol w:w="3370"/>
      </w:tblGrid>
      <w:tr>
        <w:trPr>
          <w:tblHeader/>
        </w:trPr>
        <w:tc>
          <w:tcPr>
            <w:tcW w:type="dxa" w:w="2246"/>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Bab Dokumen Ini</w:t>
            </w:r>
          </w:p>
        </w:tc>
        <w:tc>
          <w:tcPr>
            <w:tcW w:type="dxa" w:w="3744"/>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Cakupan</w:t>
            </w:r>
          </w:p>
        </w:tc>
        <w:tc>
          <w:tcPr>
            <w:tcW w:type="dxa" w:w="3370"/>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Bagian KAK yang Dituju</w:t>
            </w:r>
          </w:p>
        </w:tc>
      </w:tr>
      <w:tr>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Bab 2 — Proses Bisnis</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Aktor, enam proses inti, dan kendali mutu tiap proses</w:t>
            </w:r>
          </w:p>
        </w:tc>
        <w:tc>
          <w:tcPr>
            <w:tcW w:type="dxa" w:w="337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Latar Belakang; Gambaran Umum; Lingkup Kegiatan</w:t>
            </w:r>
          </w:p>
        </w:tc>
      </w:tr>
      <w:tr>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Bab 3 — Single Sign On</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Autentikasi saat ini dan kebutuhan penerapan SSO</w:t>
            </w:r>
          </w:p>
        </w:tc>
        <w:tc>
          <w:tcPr>
            <w:tcW w:type="dxa" w:w="337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Lingkup Pekerjaan; Spesifikasi Teknis</w:t>
            </w:r>
          </w:p>
        </w:tc>
      </w:tr>
      <w:tr>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Bab 4 — Fitur</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Fitur terbangun dan fitur yang direncanakan</w:t>
            </w:r>
          </w:p>
        </w:tc>
        <w:tc>
          <w:tcPr>
            <w:tcW w:type="dxa" w:w="337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Keluaran (Output); Lingkup Pekerjaan</w:t>
            </w:r>
          </w:p>
        </w:tc>
      </w:tr>
      <w:tr>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Bab 5 — Sumber Data</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Empat lapis korpus, penyimpanan, dan aliran data</w:t>
            </w:r>
          </w:p>
        </w:tc>
        <w:tc>
          <w:tcPr>
            <w:tcW w:type="dxa" w:w="337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Data Dasar; Data Penunjang</w:t>
            </w:r>
          </w:p>
        </w:tc>
      </w:tr>
      <w:tr>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Bab 6 — Standar Teknis</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Ketentuan mutu yang wajib dipenuhi</w:t>
            </w:r>
          </w:p>
        </w:tc>
        <w:tc>
          <w:tcPr>
            <w:tcW w:type="dxa" w:w="337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Standar Teknis; Kriteria Penerimaan</w:t>
            </w:r>
          </w:p>
        </w:tc>
      </w:tr>
      <w:tr>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Bab 7 — Penutup</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Hal yang perlu ditetapkan pemberi kerja</w:t>
            </w:r>
          </w:p>
        </w:tc>
        <w:tc>
          <w:tcPr>
            <w:tcW w:type="dxa" w:w="337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Bahan pembahasan sebelum KAK ditetapkan</w:t>
            </w:r>
          </w:p>
        </w:tc>
      </w:tr>
    </w:tbl>
    <w:p>
      <w:pPr>
        <w:spacing w:after="120"/>
      </w:pPr>
    </w:p>
    <w:p>
      <w:pPr>
        <w:spacing w:after="120" w:line="276"/>
      </w:pPr>
      <w:r>
        <w:rPr>
          <w:rFonts w:ascii="Calibri" w:cs="Calibri" w:eastAsia="Calibri" w:hAnsi="Calibri"/>
          <w:i/>
          <w:iCs/>
          <w:sz w:val="22"/>
          <w:szCs w:val="22"/>
        </w:rPr>
        <w:t xml:space="preserve">Bab 4 perlu dibaca bersama Bab 6. Fitur yang sudah berjalan tidak boleh masuk sebagai lingkup pekerjaan baru, sedangkan ketentuan pada Bab 6 berlaku untuk seluruh pekerjaan pengembangan lanjutan.</w:t>
      </w:r>
    </w:p>
    <w:p>
      <w:pPr>
        <w:spacing w:after="120"/>
      </w:pPr>
    </w:p>
    <w:p>
      <w:pPr>
        <w:pStyle w:val="Heading2"/>
        <w:spacing w:after="140" w:before="280"/>
      </w:pPr>
      <w:r>
        <w:rPr>
          <w:rFonts w:ascii="Calibri" w:cs="Calibri" w:eastAsia="Calibri" w:hAnsi="Calibri"/>
          <w:b/>
          <w:bCs/>
          <w:color w:val="1F4E79"/>
          <w:sz w:val="25"/>
          <w:szCs w:val="25"/>
        </w:rPr>
        <w:t xml:space="preserve">1.2 Prinsip yang Mengikat Seluruh Proses</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F2F7FC" w:val="clear"/>
            <w:tcMar>
              <w:top w:type="dxa" w:w="160"/>
              <w:left w:type="dxa" w:w="200"/>
              <w:bottom w:type="dxa" w:w="160"/>
              <w:right w:type="dxa" w:w="200"/>
            </w:tcMar>
          </w:tcPr>
          <w:p>
            <w:pPr>
              <w:spacing w:after="60" w:line="276"/>
            </w:pPr>
            <w:r>
              <w:rPr>
                <w:rFonts w:ascii="Calibri" w:cs="Calibri" w:eastAsia="Calibri" w:hAnsi="Calibri"/>
                <w:b/>
                <w:bCs/>
                <w:color w:val="1F4E79"/>
                <w:sz w:val="22"/>
                <w:szCs w:val="22"/>
              </w:rPr>
              <w:t xml:space="preserve">Tidak ada jawaban tanpa sumber</w:t>
            </w:r>
          </w:p>
          <w:p>
            <w:pPr>
              <w:spacing w:after="60" w:line="276"/>
            </w:pPr>
            <w:r>
              <w:rPr>
                <w:rFonts w:ascii="Calibri" w:cs="Calibri" w:eastAsia="Calibri" w:hAnsi="Calibri"/>
                <w:sz w:val="22"/>
                <w:szCs w:val="22"/>
              </w:rPr>
              <w:t xml:space="preserve">Setiap keluaran sistem wajib menyertakan sumber yang dapat ditelusuri pengguna. Bila tidak ada naskah pendukung, sistem menyatakan informasi tidak ditemukan — bukan mengarang jawaban.</w:t>
            </w:r>
          </w:p>
          <w:p>
            <w:pPr>
              <w:spacing w:after="60" w:line="276"/>
            </w:pPr>
            <w:r>
              <w:rPr>
                <w:rFonts w:ascii="Calibri" w:cs="Calibri" w:eastAsia="Calibri" w:hAnsi="Calibri"/>
                <w:sz w:val="22"/>
                <w:szCs w:val="22"/>
              </w:rPr>
              <w:t xml:space="preserve">Aturan ini ditegakkan sebagai pemeriksaan program, bukan sekadar instruksi kepada model bahasa, dan berlaku pada seluruh proses yang diuraikan di Bab 2.</w:t>
            </w:r>
          </w:p>
        </w:tc>
      </w:tr>
    </w:tbl>
    <w:p>
      <w:r>
        <w:br w:type="page"/>
      </w:r>
    </w:p>
    <w:p>
      <w:pPr>
        <w:pStyle w:val="Heading1"/>
        <w:spacing w:after="140" w:before="280"/>
      </w:pPr>
      <w:r>
        <w:rPr>
          <w:rFonts w:ascii="Calibri" w:cs="Calibri" w:eastAsia="Calibri" w:hAnsi="Calibri"/>
          <w:b/>
          <w:bCs/>
          <w:color w:val="1F4E79"/>
          <w:sz w:val="30"/>
          <w:szCs w:val="30"/>
        </w:rPr>
        <w:t xml:space="preserve">2. Proses Bisnis</w:t>
      </w:r>
    </w:p>
    <w:p>
      <w:pPr>
        <w:pStyle w:val="Heading2"/>
        <w:spacing w:after="140" w:before="280"/>
      </w:pPr>
      <w:r>
        <w:rPr>
          <w:rFonts w:ascii="Calibri" w:cs="Calibri" w:eastAsia="Calibri" w:hAnsi="Calibri"/>
          <w:b/>
          <w:bCs/>
          <w:color w:val="1F4E79"/>
          <w:sz w:val="25"/>
          <w:szCs w:val="25"/>
        </w:rPr>
        <w:t xml:space="preserve">2.1 Aktor dan Peran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059"/>
        <w:gridCol w:w="3089"/>
        <w:gridCol w:w="4212"/>
      </w:tblGrid>
      <w:tr>
        <w:trPr>
          <w:tblHeader/>
        </w:trPr>
        <w:tc>
          <w:tcPr>
            <w:tcW w:type="dxa" w:w="205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Aktor</w:t>
            </w:r>
          </w:p>
        </w:tc>
        <w:tc>
          <w:tcPr>
            <w:tcW w:type="dxa" w:w="308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Peran dalam Sistem</w:t>
            </w:r>
          </w:p>
        </w:tc>
        <w:tc>
          <w:tcPr>
            <w:tcW w:type="dxa" w:w="4212"/>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Kewenangan</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Peneliti / Penulis</w:t>
            </w:r>
          </w:p>
        </w:tc>
        <w:tc>
          <w:tcPr>
            <w:tcW w:type="dxa" w:w="308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 utama sistem</w:t>
            </w:r>
          </w:p>
        </w:tc>
        <w:tc>
          <w:tcPr>
            <w:tcW w:type="dxa" w:w="421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Tanya jawab, kajian, telusur peraturan dan celah riset</w:t>
            </w:r>
          </w:p>
        </w:tc>
      </w:tr>
      <w:tr>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Pengelola Jurnal</w:t>
            </w:r>
          </w:p>
        </w:tc>
        <w:tc>
          <w:tcPr>
            <w:tcW w:type="dxa" w:w="308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 dan penyedia naskah</w:t>
            </w:r>
          </w:p>
        </w:tc>
        <w:tc>
          <w:tcPr>
            <w:tcW w:type="dxa" w:w="421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Seluruh kewenangan pengguna, ditambah usul naskah masuk</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w:t>
            </w:r>
          </w:p>
        </w:tc>
        <w:tc>
          <w:tcPr>
            <w:tcW w:type="dxa" w:w="308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Pengelola sistem dan kurator</w:t>
            </w:r>
          </w:p>
        </w:tc>
        <w:tc>
          <w:tcPr>
            <w:tcW w:type="dxa" w:w="421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Kelola naskah, sinkronisasi, kurasi peraturan, kelola pengguna</w:t>
            </w:r>
          </w:p>
        </w:tc>
      </w:tr>
      <w:tr>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Kurator Peraturan</w:t>
            </w:r>
          </w:p>
        </w:tc>
        <w:tc>
          <w:tcPr>
            <w:tcW w:type="dxa" w:w="308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Penjamin mutu rujukan normatif</w:t>
            </w:r>
          </w:p>
        </w:tc>
        <w:tc>
          <w:tcPr>
            <w:tcW w:type="dxa" w:w="421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Menetapkan tautan resmi dan status peraturan</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 Terjadwal</w:t>
            </w:r>
          </w:p>
        </w:tc>
        <w:tc>
          <w:tcPr>
            <w:tcW w:type="dxa" w:w="308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Pelaksana proses otomatis</w:t>
            </w:r>
          </w:p>
        </w:tc>
        <w:tc>
          <w:tcPr>
            <w:tcW w:type="dxa" w:w="421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Sinkronisasi terbitan baru dari arsip jurnal</w:t>
            </w:r>
          </w:p>
        </w:tc>
      </w:tr>
    </w:tbl>
    <w:p>
      <w:pPr>
        <w:spacing w:after="120"/>
      </w:pPr>
    </w:p>
    <w:p>
      <w:pPr>
        <w:spacing w:after="120" w:line="276"/>
      </w:pPr>
      <w:r>
        <w:rPr>
          <w:rFonts w:ascii="Calibri" w:cs="Calibri" w:eastAsia="Calibri" w:hAnsi="Calibri"/>
          <w:i/>
          <w:iCs/>
          <w:sz w:val="22"/>
          <w:szCs w:val="22"/>
        </w:rPr>
        <w:t xml:space="preserve">Saat ini sistem mengenal dua peran teknis: administrator dan pengguna unit. Peran Kurator Peraturan dijalankan oleh administrator, dan dapat dipisahkan menjadi peran tersendiri bila diperlukan.</w:t>
      </w:r>
    </w:p>
    <w:p>
      <w:pPr>
        <w:spacing w:after="120"/>
      </w:pPr>
    </w:p>
    <w:p>
      <w:pPr>
        <w:pStyle w:val="Heading2"/>
        <w:spacing w:after="140" w:before="280"/>
      </w:pPr>
      <w:r>
        <w:rPr>
          <w:rFonts w:ascii="Calibri" w:cs="Calibri" w:eastAsia="Calibri" w:hAnsi="Calibri"/>
          <w:b/>
          <w:bCs/>
          <w:color w:val="1F4E79"/>
          <w:sz w:val="25"/>
          <w:szCs w:val="25"/>
        </w:rPr>
        <w:t xml:space="preserve">2.2 Peta Proses Inti</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
        <w:gridCol w:w="3370"/>
        <w:gridCol w:w="2527"/>
        <w:gridCol w:w="2527"/>
      </w:tblGrid>
      <w:tr>
        <w:trPr>
          <w:tblHeader/>
        </w:trPr>
        <w:tc>
          <w:tcPr>
            <w:tcW w:type="dxa" w:w="936"/>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Kode</w:t>
            </w:r>
          </w:p>
        </w:tc>
        <w:tc>
          <w:tcPr>
            <w:tcW w:type="dxa" w:w="3370"/>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Nama Proses</w:t>
            </w:r>
          </w:p>
        </w:tc>
        <w:tc>
          <w:tcPr>
            <w:tcW w:type="dxa" w:w="2527"/>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Pemicu</w:t>
            </w:r>
          </w:p>
        </w:tc>
        <w:tc>
          <w:tcPr>
            <w:tcW w:type="dxa" w:w="2527"/>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Pelaksana</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PB-01</w:t>
            </w:r>
          </w:p>
        </w:tc>
        <w:tc>
          <w:tcPr>
            <w:tcW w:type="dxa" w:w="337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Akuisisi dan Pengindeksan Naskah</w:t>
            </w:r>
          </w:p>
        </w:tc>
        <w:tc>
          <w:tcPr>
            <w:tcW w:type="dxa" w:w="252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Naskah baru terbit / unggahan</w:t>
            </w:r>
          </w:p>
        </w:tc>
        <w:tc>
          <w:tcPr>
            <w:tcW w:type="dxa" w:w="252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 Sistem Terjadwal</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PB-02</w:t>
            </w:r>
          </w:p>
        </w:tc>
        <w:tc>
          <w:tcPr>
            <w:tcW w:type="dxa" w:w="337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Penelusuran dan Tanya Jawab Bersitasi</w:t>
            </w:r>
          </w:p>
        </w:tc>
        <w:tc>
          <w:tcPr>
            <w:tcW w:type="dxa" w:w="252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Pertanyaan pengguna</w:t>
            </w:r>
          </w:p>
        </w:tc>
        <w:tc>
          <w:tcPr>
            <w:tcW w:type="dxa" w:w="252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Peneliti / Penulis</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PB-03</w:t>
            </w:r>
          </w:p>
        </w:tc>
        <w:tc>
          <w:tcPr>
            <w:tcW w:type="dxa" w:w="337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Kajian Sintesis Lintas Naskah</w:t>
            </w:r>
          </w:p>
        </w:tc>
        <w:tc>
          <w:tcPr>
            <w:tcW w:type="dxa" w:w="252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Permintaan kajian</w:t>
            </w:r>
          </w:p>
        </w:tc>
        <w:tc>
          <w:tcPr>
            <w:tcW w:type="dxa" w:w="252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Peneliti / Penulis</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PB-04</w:t>
            </w:r>
          </w:p>
        </w:tc>
        <w:tc>
          <w:tcPr>
            <w:tcW w:type="dxa" w:w="337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Pengelolaan Rujukan Peraturan</w:t>
            </w:r>
          </w:p>
        </w:tc>
        <w:tc>
          <w:tcPr>
            <w:tcW w:type="dxa" w:w="252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Naskah terindeks / kurasi</w:t>
            </w:r>
          </w:p>
        </w:tc>
        <w:tc>
          <w:tcPr>
            <w:tcW w:type="dxa" w:w="252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 Kurator Peraturan</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PB-05</w:t>
            </w:r>
          </w:p>
        </w:tc>
        <w:tc>
          <w:tcPr>
            <w:tcW w:type="dxa" w:w="337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Panen dan Penelusuran Celah Riset</w:t>
            </w:r>
          </w:p>
        </w:tc>
        <w:tc>
          <w:tcPr>
            <w:tcW w:type="dxa" w:w="252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Perintah panen</w:t>
            </w:r>
          </w:p>
        </w:tc>
        <w:tc>
          <w:tcPr>
            <w:tcW w:type="dxa" w:w="252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 Peneliti</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PB-06</w:t>
            </w:r>
          </w:p>
        </w:tc>
        <w:tc>
          <w:tcPr>
            <w:tcW w:type="dxa" w:w="337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Tata Kelola Pengguna dan Audit</w:t>
            </w:r>
          </w:p>
        </w:tc>
        <w:tc>
          <w:tcPr>
            <w:tcW w:type="dxa" w:w="252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Permintaan akses / peninjauan</w:t>
            </w:r>
          </w:p>
        </w:tc>
        <w:tc>
          <w:tcPr>
            <w:tcW w:type="dxa" w:w="252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w:t>
            </w:r>
          </w:p>
        </w:tc>
      </w:tr>
    </w:tbl>
    <w:p>
      <w:r>
        <w:br w:type="page"/>
      </w:r>
    </w:p>
    <w:p>
      <w:pPr>
        <w:pStyle w:val="Heading2"/>
        <w:spacing w:after="140" w:before="280"/>
      </w:pPr>
      <w:r>
        <w:rPr>
          <w:rFonts w:ascii="Calibri" w:cs="Calibri" w:eastAsia="Calibri" w:hAnsi="Calibri"/>
          <w:b/>
          <w:bCs/>
          <w:color w:val="1F4E79"/>
          <w:sz w:val="25"/>
          <w:szCs w:val="25"/>
        </w:rPr>
        <w:t xml:space="preserve">2.3 PB-01 — Akuisisi dan Pengindeksan Naskah</w:t>
      </w:r>
    </w:p>
    <w:p>
      <w:pPr>
        <w:spacing w:after="120" w:line="276"/>
      </w:pPr>
      <w:r>
        <w:rPr>
          <w:rFonts w:ascii="Calibri" w:cs="Calibri" w:eastAsia="Calibri" w:hAnsi="Calibri"/>
          <w:sz w:val="22"/>
          <w:szCs w:val="22"/>
        </w:rPr>
        <w:t xml:space="preserve">Mengubah naskah mentah menjadi pengetahuan yang dapat dicari dan disitasi.</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498"/>
        <w:gridCol w:w="5242"/>
        <w:gridCol w:w="2620"/>
      </w:tblGrid>
      <w:tr>
        <w:trPr>
          <w:tblHeader/>
        </w:trPr>
        <w:tc>
          <w:tcPr>
            <w:tcW w:type="dxa" w:w="1498"/>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Tahap</w:t>
            </w:r>
          </w:p>
        </w:tc>
        <w:tc>
          <w:tcPr>
            <w:tcW w:type="dxa" w:w="5242"/>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Kegiatan</w:t>
            </w:r>
          </w:p>
        </w:tc>
        <w:tc>
          <w:tcPr>
            <w:tcW w:type="dxa" w:w="2620"/>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Keluaran</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 Perolehan</w:t>
            </w:r>
          </w:p>
        </w:tc>
        <w:tc>
          <w:tcPr>
            <w:tcW w:type="dxa" w:w="524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Penarikan otomatis dari arsip jurnal (OAI-PMH) atau unggahan manual berkas PDF/DOCX</w:t>
            </w:r>
          </w:p>
        </w:tc>
        <w:tc>
          <w:tcPr>
            <w:tcW w:type="dxa" w:w="262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Berkas naskah + metadata</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2. Penyimpanan</w:t>
            </w:r>
          </w:p>
        </w:tc>
        <w:tc>
          <w:tcPr>
            <w:tcW w:type="dxa" w:w="524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Berkas disimpan pada penyimpanan objek; metadata masuk basis data</w:t>
            </w:r>
          </w:p>
        </w:tc>
        <w:tc>
          <w:tcPr>
            <w:tcW w:type="dxa" w:w="262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Naskah tercatat</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3. Ekstraksi teks</w:t>
            </w:r>
          </w:p>
        </w:tc>
        <w:tc>
          <w:tcPr>
            <w:tcW w:type="dxa" w:w="524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Pembacaan teks; bila hasil pindai tidak terbaca, dialihkan ke pembacaan berbantuan model</w:t>
            </w:r>
          </w:p>
        </w:tc>
        <w:tc>
          <w:tcPr>
            <w:tcW w:type="dxa" w:w="262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Teks naskah</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4. Pemotongan</w:t>
            </w:r>
          </w:p>
        </w:tc>
        <w:tc>
          <w:tcPr>
            <w:tcW w:type="dxa" w:w="524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Teks dipecah menjadi potongan dengan tumpang tindih agar konteks tidak terputus</w:t>
            </w:r>
          </w:p>
        </w:tc>
        <w:tc>
          <w:tcPr>
            <w:tcW w:type="dxa" w:w="262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Potongan teks</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5. Pengindeksan</w:t>
            </w:r>
          </w:p>
        </w:tc>
        <w:tc>
          <w:tcPr>
            <w:tcW w:type="dxa" w:w="524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Pembentukan representasi numerik di server internal dan indeks pencarian teks</w:t>
            </w:r>
          </w:p>
        </w:tc>
        <w:tc>
          <w:tcPr>
            <w:tcW w:type="dxa" w:w="262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Indeks siap dicari</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6. Panen turunan</w:t>
            </w:r>
          </w:p>
        </w:tc>
        <w:tc>
          <w:tcPr>
            <w:tcW w:type="dxa" w:w="524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Pemungutan rujukan peraturan (lihat PB-04) dan pernyataan celah riset (lihat PB-05)</w:t>
            </w:r>
          </w:p>
        </w:tc>
        <w:tc>
          <w:tcPr>
            <w:tcW w:type="dxa" w:w="262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Indeks rujukan dan celah</w:t>
            </w:r>
          </w:p>
        </w:tc>
      </w:tr>
    </w:tbl>
    <w:p>
      <w:pPr>
        <w:spacing w:after="120"/>
      </w:pPr>
    </w:p>
    <w:p>
      <w:pPr>
        <w:spacing w:after="120" w:line="276"/>
      </w:pPr>
      <w:r>
        <w:rPr>
          <w:rFonts w:ascii="Calibri" w:cs="Calibri" w:eastAsia="Calibri" w:hAnsi="Calibri"/>
          <w:b/>
          <w:bCs/>
          <w:sz w:val="22"/>
          <w:szCs w:val="22"/>
        </w:rPr>
        <w:t xml:space="preserve">Kendali mutu:</w:t>
      </w:r>
    </w:p>
    <w:p>
      <w:pPr>
        <w:pStyle w:val="ListParagraph"/>
        <w:numPr>
          <w:ilvl w:val="0"/>
          <w:numId w:val="2"/>
        </w:numPr>
        <w:spacing w:after="80" w:line="276"/>
      </w:pPr>
      <w:r>
        <w:rPr>
          <w:rFonts w:ascii="Calibri" w:cs="Calibri" w:eastAsia="Calibri" w:hAnsi="Calibri"/>
          <w:sz w:val="22"/>
          <w:szCs w:val="22"/>
        </w:rPr>
        <w:t xml:space="preserve">Naskah yang sudah pernah masuk tidak diduplikasi pada sinkronisasi berikutnya.</w:t>
      </w:r>
    </w:p>
    <w:p>
      <w:pPr>
        <w:pStyle w:val="ListParagraph"/>
        <w:numPr>
          <w:ilvl w:val="0"/>
          <w:numId w:val="2"/>
        </w:numPr>
        <w:spacing w:after="80" w:line="276"/>
      </w:pPr>
      <w:r>
        <w:rPr>
          <w:rFonts w:ascii="Calibri" w:cs="Calibri" w:eastAsia="Calibri" w:hAnsi="Calibri"/>
          <w:sz w:val="22"/>
          <w:szCs w:val="22"/>
        </w:rPr>
        <w:t xml:space="preserve">Setiap sinkronisasi dicatat beserta jumlah naskah baru dan status keberhasilannya.</w:t>
      </w:r>
    </w:p>
    <w:p>
      <w:pPr>
        <w:pStyle w:val="ListParagraph"/>
        <w:numPr>
          <w:ilvl w:val="0"/>
          <w:numId w:val="2"/>
        </w:numPr>
        <w:spacing w:after="80" w:line="276"/>
      </w:pPr>
      <w:r>
        <w:rPr>
          <w:rFonts w:ascii="Calibri" w:cs="Calibri" w:eastAsia="Calibri" w:hAnsi="Calibri"/>
          <w:sz w:val="22"/>
          <w:szCs w:val="22"/>
        </w:rPr>
        <w:t xml:space="preserve">Naskah tanpa teks yang dapat dibaca ditolak masuk indeks, tidak dibiarkan kosong.</w:t>
      </w:r>
    </w:p>
    <w:p>
      <w:pPr>
        <w:spacing w:after="200"/>
      </w:pPr>
    </w:p>
    <w:p>
      <w:pPr>
        <w:pStyle w:val="Heading2"/>
        <w:spacing w:after="140" w:before="280"/>
      </w:pPr>
      <w:r>
        <w:rPr>
          <w:rFonts w:ascii="Calibri" w:cs="Calibri" w:eastAsia="Calibri" w:hAnsi="Calibri"/>
          <w:b/>
          <w:bCs/>
          <w:color w:val="1F4E79"/>
          <w:sz w:val="25"/>
          <w:szCs w:val="25"/>
        </w:rPr>
        <w:t xml:space="preserve">2.4 PB-02 — Penelusuran dan Tanya Jawab Bersitasi</w:t>
      </w:r>
    </w:p>
    <w:p>
      <w:pPr>
        <w:spacing w:after="120" w:line="276"/>
      </w:pPr>
      <w:r>
        <w:rPr>
          <w:rFonts w:ascii="Calibri" w:cs="Calibri" w:eastAsia="Calibri" w:hAnsi="Calibri"/>
          <w:sz w:val="22"/>
          <w:szCs w:val="22"/>
        </w:rPr>
        <w:t xml:space="preserve">Proses yang paling sering dijalankan pengguna. Alurnya:</w:t>
      </w:r>
    </w:p>
    <w:p>
      <w:pPr>
        <w:spacing w:after="40"/>
      </w:pPr>
      <w:r>
        <w:rPr>
          <w:rFonts w:ascii="Consolas" w:cs="Consolas" w:eastAsia="Consolas" w:hAnsi="Consolas"/>
          <w:color w:val="333333"/>
          <w:sz w:val="17"/>
          <w:szCs w:val="17"/>
        </w:rPr>
        <w:t xml:space="preserve">   Pengguna            Sistem                              Kendali Mutu</w:t>
      </w:r>
    </w:p>
    <w:p>
      <w:pPr>
        <w:spacing w:after="40"/>
      </w:pPr>
      <w:r>
        <w:rPr>
          <w:rFonts w:ascii="Consolas" w:cs="Consolas" w:eastAsia="Consolas" w:hAnsi="Consolas"/>
          <w:color w:val="333333"/>
          <w:sz w:val="17"/>
          <w:szCs w:val="17"/>
        </w:rPr>
        <w:t xml:space="preserve">   ────────            ──────                              ────────────</w:t>
      </w:r>
    </w:p>
    <w:p>
      <w:pPr>
        <w:spacing w:after="40"/>
      </w:pPr>
      <w:r>
        <w:rPr>
          <w:rFonts w:ascii="Consolas" w:cs="Consolas" w:eastAsia="Consolas" w:hAnsi="Consolas"/>
          <w:color w:val="333333"/>
          <w:sz w:val="17"/>
          <w:szCs w:val="17"/>
        </w:rPr>
        <w:t xml:space="preserve">                                                                        </w:t>
      </w:r>
    </w:p>
    <w:p>
      <w:pPr>
        <w:spacing w:after="40"/>
      </w:pPr>
      <w:r>
        <w:rPr>
          <w:rFonts w:ascii="Consolas" w:cs="Consolas" w:eastAsia="Consolas" w:hAnsi="Consolas"/>
          <w:color w:val="333333"/>
          <w:sz w:val="17"/>
          <w:szCs w:val="17"/>
        </w:rPr>
        <w:t xml:space="preserve">   Ajukan       ──►  1. Baca maksud pertanyaan                          </w:t>
      </w:r>
    </w:p>
    <w:p>
      <w:pPr>
        <w:spacing w:after="40"/>
      </w:pPr>
      <w:r>
        <w:rPr>
          <w:rFonts w:ascii="Consolas" w:cs="Consolas" w:eastAsia="Consolas" w:hAnsi="Consolas"/>
          <w:color w:val="333333"/>
          <w:sz w:val="17"/>
          <w:szCs w:val="17"/>
        </w:rPr>
        <w:t xml:space="preserve">   pertanyaan          (normatif / empiris)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2. Pencarian hibrida                               </w:t>
      </w:r>
    </w:p>
    <w:p>
      <w:pPr>
        <w:spacing w:after="40"/>
      </w:pPr>
      <w:r>
        <w:rPr>
          <w:rFonts w:ascii="Consolas" w:cs="Consolas" w:eastAsia="Consolas" w:hAnsi="Consolas"/>
          <w:color w:val="333333"/>
          <w:sz w:val="17"/>
          <w:szCs w:val="17"/>
        </w:rPr>
        <w:t xml:space="preserve">                        vektor + kata kunci + peraturan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3. Susun jawaban dari                              </w:t>
      </w:r>
    </w:p>
    <w:p>
      <w:pPr>
        <w:spacing w:after="40"/>
      </w:pPr>
      <w:r>
        <w:rPr>
          <w:rFonts w:ascii="Consolas" w:cs="Consolas" w:eastAsia="Consolas" w:hAnsi="Consolas"/>
          <w:color w:val="333333"/>
          <w:sz w:val="17"/>
          <w:szCs w:val="17"/>
        </w:rPr>
        <w:t xml:space="preserve">                        potongan terpilih saja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4. Penjaga Sitasi     ──────────►  Nomor sumber    </w:t>
      </w:r>
    </w:p>
    <w:p>
      <w:pPr>
        <w:spacing w:after="40"/>
      </w:pPr>
      <w:r>
        <w:rPr>
          <w:rFonts w:ascii="Consolas" w:cs="Consolas" w:eastAsia="Consolas" w:hAnsi="Consolas"/>
          <w:color w:val="333333"/>
          <w:sz w:val="17"/>
          <w:szCs w:val="17"/>
        </w:rPr>
        <w:t xml:space="preserve">                          │                             diverifikasi     </w:t>
      </w:r>
    </w:p>
    <w:p>
      <w:pPr>
        <w:spacing w:after="40"/>
      </w:pPr>
      <w:r>
        <w:rPr>
          <w:rFonts w:ascii="Consolas" w:cs="Consolas" w:eastAsia="Consolas" w:hAnsi="Consolas"/>
          <w:color w:val="333333"/>
          <w:sz w:val="17"/>
          <w:szCs w:val="17"/>
        </w:rPr>
        <w:t xml:space="preserve">                          ├── ada sumber ──┐            Tanpa sumber →   </w:t>
      </w:r>
    </w:p>
    <w:p>
      <w:pPr>
        <w:spacing w:after="40"/>
      </w:pPr>
      <w:r>
        <w:rPr>
          <w:rFonts w:ascii="Consolas" w:cs="Consolas" w:eastAsia="Consolas" w:hAnsi="Consolas"/>
          <w:color w:val="333333"/>
          <w:sz w:val="17"/>
          <w:szCs w:val="17"/>
        </w:rPr>
        <w:t xml:space="preserve">                          │                │            jawaban ditolak  </w:t>
      </w:r>
    </w:p>
    <w:p>
      <w:pPr>
        <w:spacing w:after="40"/>
      </w:pPr>
      <w:r>
        <w:rPr>
          <w:rFonts w:ascii="Consolas" w:cs="Consolas" w:eastAsia="Consolas" w:hAnsi="Consolas"/>
          <w:color w:val="333333"/>
          <w:sz w:val="17"/>
          <w:szCs w:val="17"/>
        </w:rPr>
        <w:t xml:space="preserve">                          ▼                ▼                             </w:t>
      </w:r>
    </w:p>
    <w:p>
      <w:pPr>
        <w:spacing w:after="40"/>
      </w:pPr>
      <w:r>
        <w:rPr>
          <w:rFonts w:ascii="Consolas" w:cs="Consolas" w:eastAsia="Consolas" w:hAnsi="Consolas"/>
          <w:color w:val="333333"/>
          <w:sz w:val="17"/>
          <w:szCs w:val="17"/>
        </w:rPr>
        <w:t xml:space="preserve">   Terima      ◄──   "tidak ditemukan"   Jawaban + sitasi                </w:t>
      </w:r>
    </w:p>
    <w:p>
      <w:pPr>
        <w:spacing w:after="40"/>
      </w:pPr>
      <w:r>
        <w:rPr>
          <w:rFonts w:ascii="Consolas" w:cs="Consolas" w:eastAsia="Consolas" w:hAnsi="Consolas"/>
          <w:color w:val="333333"/>
          <w:sz w:val="17"/>
          <w:szCs w:val="17"/>
        </w:rPr>
        <w:t xml:space="preserve">   jawaban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5. Simpan ke riwayat + log audit                    </w:t>
      </w:r>
    </w:p>
    <w:p>
      <w:pPr>
        <w:spacing w:after="16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059"/>
        <w:gridCol w:w="7301"/>
      </w:tblGrid>
      <w:tr>
        <w:trPr>
          <w:tblHeader/>
        </w:trPr>
        <w:tc>
          <w:tcPr>
            <w:tcW w:type="dxa" w:w="205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Tahap</w:t>
            </w:r>
          </w:p>
        </w:tc>
        <w:tc>
          <w:tcPr>
            <w:tcW w:type="dxa" w:w="7301"/>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Penjelasan</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 Baca maksud</w:t>
            </w:r>
          </w:p>
        </w:tc>
        <w:tc>
          <w:tcPr>
            <w:tcW w:type="dxa" w:w="7301"/>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 mengenali apakah pertanyaan mencari dasar aturan atau temuan riset, lalu menyesuaikan porsi penelusurannya</w:t>
            </w:r>
          </w:p>
        </w:tc>
      </w:tr>
      <w:tr>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2. Pencarian hibrida</w:t>
            </w:r>
          </w:p>
        </w:tc>
        <w:tc>
          <w:tcPr>
            <w:tcW w:type="dxa" w:w="7301"/>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Tiga jalur digabung: kemiripan makna, pencocokan kata kunci literal, dan jalur khusus potongan bermuatan peraturan</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3. Penyusunan jawaban</w:t>
            </w:r>
          </w:p>
        </w:tc>
        <w:tc>
          <w:tcPr>
            <w:tcW w:type="dxa" w:w="7301"/>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Model bahasa hanya boleh merangkai jawaban dari potongan terpilih, bukan dari pengetahuan bawaannya</w:t>
            </w:r>
          </w:p>
        </w:tc>
      </w:tr>
      <w:tr>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4. Penjaga Sitasi</w:t>
            </w:r>
          </w:p>
        </w:tc>
        <w:tc>
          <w:tcPr>
            <w:tcW w:type="dxa" w:w="7301"/>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Nomor sumber yang tidak menunjuk naskah mana pun digugurkan; jawaban tanpa sumber sah ditolak dan diganti pernyataan baku</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5. Pencatatan</w:t>
            </w:r>
          </w:p>
        </w:tc>
        <w:tc>
          <w:tcPr>
            <w:tcW w:type="dxa" w:w="7301"/>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Pertanyaan, jawaban, dan sumbernya disimpan pada riwayat serta dicatat pada log audit</w:t>
            </w:r>
          </w:p>
        </w:tc>
      </w:tr>
    </w:tbl>
    <w:p>
      <w:pPr>
        <w:spacing w:after="120"/>
      </w:pP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F2F7FC" w:val="clear"/>
            <w:tcMar>
              <w:top w:type="dxa" w:w="160"/>
              <w:left w:type="dxa" w:w="200"/>
              <w:bottom w:type="dxa" w:w="160"/>
              <w:right w:type="dxa" w:w="200"/>
            </w:tcMar>
          </w:tcPr>
          <w:p>
            <w:pPr>
              <w:spacing w:after="60" w:line="276"/>
            </w:pPr>
            <w:r>
              <w:rPr>
                <w:rFonts w:ascii="Calibri" w:cs="Calibri" w:eastAsia="Calibri" w:hAnsi="Calibri"/>
                <w:b/>
                <w:bCs/>
                <w:color w:val="1F4E79"/>
                <w:sz w:val="22"/>
                <w:szCs w:val="22"/>
              </w:rPr>
              <w:t xml:space="preserve">Kendali mutu utama</w:t>
            </w:r>
          </w:p>
          <w:p>
            <w:pPr>
              <w:spacing w:after="60" w:line="276"/>
            </w:pPr>
            <w:r>
              <w:rPr>
                <w:rFonts w:ascii="Calibri" w:cs="Calibri" w:eastAsia="Calibri" w:hAnsi="Calibri"/>
                <w:sz w:val="22"/>
                <w:szCs w:val="22"/>
              </w:rPr>
              <w:t xml:space="preserve">Tahap 4 adalah titik yang membedakan sistem ini dari layanan kecerdasan buatan umum. Jawaban yang tidak dapat ditelusuri sumbernya tidak pernah sampai ke pengguna.</w:t>
            </w:r>
          </w:p>
        </w:tc>
      </w:tr>
    </w:tbl>
    <w:p>
      <w:r>
        <w:br w:type="page"/>
      </w:r>
    </w:p>
    <w:p>
      <w:pPr>
        <w:pStyle w:val="Heading2"/>
        <w:spacing w:after="140" w:before="280"/>
      </w:pPr>
      <w:r>
        <w:rPr>
          <w:rFonts w:ascii="Calibri" w:cs="Calibri" w:eastAsia="Calibri" w:hAnsi="Calibri"/>
          <w:b/>
          <w:bCs/>
          <w:color w:val="1F4E79"/>
          <w:sz w:val="25"/>
          <w:szCs w:val="25"/>
        </w:rPr>
        <w:t xml:space="preserve">2.5 PB-03 — Kajian Sintesis Lintas Naskah</w:t>
      </w:r>
    </w:p>
    <w:p>
      <w:pPr>
        <w:spacing w:after="120" w:line="276"/>
      </w:pPr>
      <w:r>
        <w:rPr>
          <w:rFonts w:ascii="Calibri" w:cs="Calibri" w:eastAsia="Calibri" w:hAnsi="Calibri"/>
          <w:sz w:val="22"/>
          <w:szCs w:val="22"/>
        </w:rPr>
        <w:t xml:space="preserve">Digunakan ketika pengguna memerlukan rangkuman temuan dari beberapa naskah sekaligus, bukan jawaban tunggal.</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49"/>
        <w:gridCol w:w="4867"/>
        <w:gridCol w:w="3744"/>
      </w:tblGrid>
      <w:tr>
        <w:trPr>
          <w:tblHeader/>
        </w:trPr>
        <w:tc>
          <w:tcPr>
            <w:tcW w:type="dxa" w:w="74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Tahap</w:t>
            </w:r>
          </w:p>
        </w:tc>
        <w:tc>
          <w:tcPr>
            <w:tcW w:type="dxa" w:w="4867"/>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Kegiatan</w:t>
            </w:r>
          </w:p>
        </w:tc>
        <w:tc>
          <w:tcPr>
            <w:tcW w:type="dxa" w:w="3744"/>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Kendali</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Penelusuran diperluas ke lebih banyak potongan naskah</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Cakupan lebih luas daripada tanya jawab biasa</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2</w:t>
            </w:r>
          </w:p>
        </w:tc>
        <w:tc>
          <w:tcPr>
            <w:tcW w:type="dxa" w:w="486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Temuan disusun menjadi butir-butir klaim, bukan satu paragraf panjang</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Tiap butir berdiri sendiri</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3</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Setiap butir wajib menyebut naskah pendukungnya</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Butir tanpa sitasi dibuang otomatis</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4</w:t>
            </w:r>
          </w:p>
        </w:tc>
        <w:tc>
          <w:tcPr>
            <w:tcW w:type="dxa" w:w="486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Kekuatan bukti dinilai dari jumlah naskah berbeda yang mendukung</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Kuat / sedang / lemah</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5</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Penilaian keseluruhan mengikuti butir terlemah</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Mencegah penyimpulan berlebihan</w:t>
            </w:r>
          </w:p>
        </w:tc>
      </w:tr>
    </w:tbl>
    <w:p>
      <w:pPr>
        <w:spacing w:after="120"/>
      </w:pPr>
    </w:p>
    <w:p>
      <w:pPr>
        <w:spacing w:after="120" w:line="276"/>
      </w:pPr>
      <w:r>
        <w:rPr>
          <w:rFonts w:ascii="Calibri" w:cs="Calibri" w:eastAsia="Calibri" w:hAnsi="Calibri"/>
          <w:i/>
          <w:iCs/>
          <w:sz w:val="22"/>
          <w:szCs w:val="22"/>
        </w:rPr>
        <w:t xml:space="preserve">Penilaian keseluruhan sengaja mengikuti butir yang paling lemah. Tanpa aturan ini, kajian yang menyentuh banyak naskah akan tampak kuat meskipun salah satu klaimnya hanya didukung satu sumber.</w:t>
      </w:r>
    </w:p>
    <w:p>
      <w:pPr>
        <w:spacing w:after="200"/>
      </w:pPr>
    </w:p>
    <w:p>
      <w:pPr>
        <w:pStyle w:val="Heading2"/>
        <w:spacing w:after="140" w:before="280"/>
      </w:pPr>
      <w:r>
        <w:rPr>
          <w:rFonts w:ascii="Calibri" w:cs="Calibri" w:eastAsia="Calibri" w:hAnsi="Calibri"/>
          <w:b/>
          <w:bCs/>
          <w:color w:val="1F4E79"/>
          <w:sz w:val="25"/>
          <w:szCs w:val="25"/>
        </w:rPr>
        <w:t xml:space="preserve">2.6 PB-04 — Pengelolaan Rujukan Peraturan</w:t>
      </w:r>
    </w:p>
    <w:p>
      <w:pPr>
        <w:spacing w:after="120" w:line="276"/>
      </w:pPr>
      <w:r>
        <w:rPr>
          <w:rFonts w:ascii="Calibri" w:cs="Calibri" w:eastAsia="Calibri" w:hAnsi="Calibri"/>
          <w:sz w:val="22"/>
          <w:szCs w:val="22"/>
        </w:rPr>
        <w:t xml:space="preserve">Sistem memungut penyebutan peraturan dari teks naskah, sehingga pengguna dapat mengetahui aturan apa yang lazim dijadikan acuan pada suatu topik tanpa perlu mengunggah dokumen peraturannya terlebih dahulu.</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685"/>
        <w:gridCol w:w="5429"/>
        <w:gridCol w:w="2246"/>
      </w:tblGrid>
      <w:tr>
        <w:trPr>
          <w:tblHeader/>
        </w:trPr>
        <w:tc>
          <w:tcPr>
            <w:tcW w:type="dxa" w:w="1685"/>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Tahap</w:t>
            </w:r>
          </w:p>
        </w:tc>
        <w:tc>
          <w:tcPr>
            <w:tcW w:type="dxa" w:w="542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Kegiatan</w:t>
            </w:r>
          </w:p>
        </w:tc>
        <w:tc>
          <w:tcPr>
            <w:tcW w:type="dxa" w:w="2246"/>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Pelaksana</w:t>
            </w:r>
          </w:p>
        </w:tc>
      </w:tr>
      <w:tr>
        <w:tc>
          <w:tcPr>
            <w:tcW w:type="dxa" w:w="1685"/>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 Pemungutan</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Penyebutan nomor peraturan dan SNI dipungut dari teks naskah menggunakan pencocokan pola</w:t>
            </w:r>
          </w:p>
        </w:tc>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 (otomatis)</w:t>
            </w:r>
          </w:p>
        </w:tc>
      </w:tr>
      <w:tr>
        <w:tc>
          <w:tcPr>
            <w:tcW w:type="dxa" w:w="1685"/>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2. Penormalan</w:t>
            </w:r>
          </w:p>
        </w:tc>
        <w:tc>
          <w:tcPr>
            <w:tcW w:type="dxa" w:w="542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Beberapa edisi dari standar yang sama dikenali sebagai satu standar</w:t>
            </w:r>
          </w:p>
        </w:tc>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 (otomatis)</w:t>
            </w:r>
          </w:p>
        </w:tc>
      </w:tr>
      <w:tr>
        <w:tc>
          <w:tcPr>
            <w:tcW w:type="dxa" w:w="1685"/>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3. Pemungutan judul</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Judul resmi dan pasal yang dikutip dipungut dari kalimat naskah</w:t>
            </w:r>
          </w:p>
        </w:tc>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 (otomatis)</w:t>
            </w:r>
          </w:p>
        </w:tc>
      </w:tr>
      <w:tr>
        <w:tc>
          <w:tcPr>
            <w:tcW w:type="dxa" w:w="1685"/>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4. Deteksi edisi lama</w:t>
            </w:r>
          </w:p>
        </w:tc>
        <w:tc>
          <w:tcPr>
            <w:tcW w:type="dxa" w:w="542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Naskah yang merujuk edisi lebih lama ditandai bila korpus memuat edisi lebih baru</w:t>
            </w:r>
          </w:p>
        </w:tc>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 (otomatis)</w:t>
            </w:r>
          </w:p>
        </w:tc>
      </w:tr>
      <w:tr>
        <w:tc>
          <w:tcPr>
            <w:tcW w:type="dxa" w:w="1685"/>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5. Kurasi tautan</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Tautan ke sumber resmi JDIH ditetapkan dan diverifikasi</w:t>
            </w:r>
          </w:p>
        </w:tc>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Kurator Peraturan</w:t>
            </w:r>
          </w:p>
        </w:tc>
      </w:tr>
    </w:tbl>
    <w:p>
      <w:pPr>
        <w:spacing w:after="120"/>
      </w:pPr>
    </w:p>
    <w:p>
      <w:pPr>
        <w:spacing w:after="120" w:line="276"/>
      </w:pPr>
      <w:r>
        <w:rPr>
          <w:rFonts w:ascii="Calibri" w:cs="Calibri" w:eastAsia="Calibri" w:hAnsi="Calibri"/>
          <w:i/>
          <w:iCs/>
          <w:sz w:val="22"/>
          <w:szCs w:val="22"/>
        </w:rPr>
        <w:t xml:space="preserve">Pemungutan menggunakan pencocokan pola, bukan model bahasa, karena nomor peraturan adalah data yang harus tepat dan model bahasa rawan menggeser digit.</w:t>
      </w:r>
    </w:p>
    <w:p>
      <w:pPr>
        <w:spacing w:after="120"/>
      </w:pPr>
    </w:p>
    <w:tbl>
      <w:tblPr>
        <w:tblW w:type="dxa" w:w="9360"/>
        <w:tblBorders>
          <w:top w:val="single" w:color="A63A3A" w:sz="6"/>
          <w:left w:val="single" w:color="A63A3A" w:sz="18"/>
          <w:bottom w:val="single" w:color="A63A3A" w:sz="6"/>
          <w:right w:val="single" w:color="A63A3A" w:sz="6"/>
          <w:insideH w:val="none"/>
          <w:insideV w:val="none"/>
        </w:tblBorders>
      </w:tblPr>
      <w:tblGrid>
        <w:gridCol w:w="9360"/>
      </w:tblGrid>
      <w:tr>
        <w:tc>
          <w:tcPr>
            <w:tcW w:type="dxa" w:w="9360"/>
            <w:shd w:fill="FCF4F4" w:val="clear"/>
            <w:tcMar>
              <w:top w:type="dxa" w:w="160"/>
              <w:left w:type="dxa" w:w="200"/>
              <w:bottom w:type="dxa" w:w="160"/>
              <w:right w:type="dxa" w:w="200"/>
            </w:tcMar>
          </w:tcPr>
          <w:p>
            <w:pPr>
              <w:spacing w:after="60" w:line="276"/>
            </w:pPr>
            <w:r>
              <w:rPr>
                <w:rFonts w:ascii="Calibri" w:cs="Calibri" w:eastAsia="Calibri" w:hAnsi="Calibri"/>
                <w:b/>
                <w:bCs/>
                <w:color w:val="A63A3A"/>
                <w:sz w:val="22"/>
                <w:szCs w:val="22"/>
              </w:rPr>
              <w:t xml:space="preserve">Batas yang dipegang</w:t>
            </w:r>
          </w:p>
          <w:p>
            <w:pPr>
              <w:spacing w:after="60" w:line="276"/>
            </w:pPr>
            <w:r>
              <w:rPr>
                <w:rFonts w:ascii="Calibri" w:cs="Calibri" w:eastAsia="Calibri" w:hAnsi="Calibri"/>
                <w:sz w:val="22"/>
                <w:szCs w:val="22"/>
              </w:rPr>
              <w:t xml:space="preserve">Deteksi edisi lama berbasis isi korpus, dan BUKAN pernyataan bahwa edisi lama telah dicabut. Sistem belum memiliki data status resmi peraturan.</w:t>
            </w:r>
          </w:p>
          <w:p>
            <w:pPr>
              <w:spacing w:after="60" w:line="276"/>
            </w:pPr>
            <w:r>
              <w:rPr>
                <w:rFonts w:ascii="Calibri" w:cs="Calibri" w:eastAsia="Calibri" w:hAnsi="Calibri"/>
                <w:sz w:val="22"/>
                <w:szCs w:val="22"/>
              </w:rPr>
              <w:t xml:space="preserve">Tautan sumber resmi ditetapkan kurator secara manual dan divalidasi terhadap daftar tertutup situs JDIH resmi — tidak ditebak sistem, karena tautan yang keliru akan mengarahkan pengguna ke peraturan yang salah.</w:t>
            </w:r>
          </w:p>
        </w:tc>
      </w:tr>
    </w:tbl>
    <w:p>
      <w:r>
        <w:br w:type="page"/>
      </w:r>
    </w:p>
    <w:p>
      <w:pPr>
        <w:pStyle w:val="Heading2"/>
        <w:spacing w:after="140" w:before="280"/>
      </w:pPr>
      <w:r>
        <w:rPr>
          <w:rFonts w:ascii="Calibri" w:cs="Calibri" w:eastAsia="Calibri" w:hAnsi="Calibri"/>
          <w:b/>
          <w:bCs/>
          <w:color w:val="1F4E79"/>
          <w:sz w:val="25"/>
          <w:szCs w:val="25"/>
        </w:rPr>
        <w:t xml:space="preserve">2.7 PB-05 — Panen dan Penelusuran Celah Riset</w:t>
      </w:r>
    </w:p>
    <w:p>
      <w:pPr>
        <w:spacing w:after="120" w:line="276"/>
      </w:pPr>
      <w:r>
        <w:rPr>
          <w:rFonts w:ascii="Calibri" w:cs="Calibri" w:eastAsia="Calibri" w:hAnsi="Calibri"/>
          <w:sz w:val="22"/>
          <w:szCs w:val="22"/>
        </w:rPr>
        <w:t xml:space="preserve">Memungut pernyataan celah riset yang ditulis sendiri oleh penulis naskah — bagian keterbatasan penelitian dan saran penelitian lanjutan.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498"/>
        <w:gridCol w:w="4867"/>
        <w:gridCol w:w="2995"/>
      </w:tblGrid>
      <w:tr>
        <w:trPr>
          <w:tblHeader/>
        </w:trPr>
        <w:tc>
          <w:tcPr>
            <w:tcW w:type="dxa" w:w="1498"/>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Tahap</w:t>
            </w:r>
          </w:p>
        </w:tc>
        <w:tc>
          <w:tcPr>
            <w:tcW w:type="dxa" w:w="4867"/>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Kegiatan</w:t>
            </w:r>
          </w:p>
        </w:tc>
        <w:tc>
          <w:tcPr>
            <w:tcW w:type="dxa" w:w="2995"/>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Kendali</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 Penyaringan</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Potongan yang berpotensi memuat pernyataan celah dipilih dengan pencocokan pola</w:t>
            </w:r>
          </w:p>
        </w:tc>
        <w:tc>
          <w:tcPr>
            <w:tcW w:type="dxa" w:w="2995"/>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Memangkas beban pemrosesan secara besar</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2. Pemilahan</w:t>
            </w:r>
          </w:p>
        </w:tc>
        <w:tc>
          <w:tcPr>
            <w:tcW w:type="dxa" w:w="486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Model bahasa memilah celah riset dari keterbatasan program atau anggaran</w:t>
            </w:r>
          </w:p>
        </w:tc>
        <w:tc>
          <w:tcPr>
            <w:tcW w:type="dxa" w:w="2995"/>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Pencocokan pola tidak dapat membedakan keduanya</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3. Verifikasi</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Kutipan yang dikembalikan diperiksa harus benar-benar ada di teks naskah</w:t>
            </w:r>
          </w:p>
        </w:tc>
        <w:tc>
          <w:tcPr>
            <w:tcW w:type="dxa" w:w="2995"/>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Pernyataan yang gagal verifikasi digugurkan</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4. Penyimpanan</w:t>
            </w:r>
          </w:p>
        </w:tc>
        <w:tc>
          <w:tcPr>
            <w:tcW w:type="dxa" w:w="486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Pernyataan disimpan beserta kutipan asli dan naskah sumbernya</w:t>
            </w:r>
          </w:p>
        </w:tc>
        <w:tc>
          <w:tcPr>
            <w:tcW w:type="dxa" w:w="2995"/>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Dapat diperiksa pengguna sewaktu-waktu</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5. Penelusuran</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 mencari dan menyaring daftar celah, lalu membuka naskah sumbernya</w:t>
            </w:r>
          </w:p>
        </w:tc>
        <w:tc>
          <w:tcPr>
            <w:tcW w:type="dxa" w:w="2995"/>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Setiap butir tertaut ke naskah</w:t>
            </w:r>
          </w:p>
        </w:tc>
      </w:tr>
    </w:tbl>
    <w:p>
      <w:pPr>
        <w:spacing w:after="120"/>
      </w:pPr>
    </w:p>
    <w:tbl>
      <w:tblPr>
        <w:tblW w:type="dxa" w:w="9360"/>
        <w:tblBorders>
          <w:top w:val="single" w:color="A63A3A" w:sz="6"/>
          <w:left w:val="single" w:color="A63A3A" w:sz="18"/>
          <w:bottom w:val="single" w:color="A63A3A" w:sz="6"/>
          <w:right w:val="single" w:color="A63A3A" w:sz="6"/>
          <w:insideH w:val="none"/>
          <w:insideV w:val="none"/>
        </w:tblBorders>
      </w:tblPr>
      <w:tblGrid>
        <w:gridCol w:w="9360"/>
      </w:tblGrid>
      <w:tr>
        <w:tc>
          <w:tcPr>
            <w:tcW w:type="dxa" w:w="9360"/>
            <w:shd w:fill="FCF4F4" w:val="clear"/>
            <w:tcMar>
              <w:top w:type="dxa" w:w="160"/>
              <w:left w:type="dxa" w:w="200"/>
              <w:bottom w:type="dxa" w:w="160"/>
              <w:right w:type="dxa" w:w="200"/>
            </w:tcMar>
          </w:tcPr>
          <w:p>
            <w:pPr>
              <w:spacing w:after="60" w:line="276"/>
            </w:pPr>
            <w:r>
              <w:rPr>
                <w:rFonts w:ascii="Calibri" w:cs="Calibri" w:eastAsia="Calibri" w:hAnsi="Calibri"/>
                <w:b/>
                <w:bCs/>
                <w:color w:val="A63A3A"/>
                <w:sz w:val="22"/>
                <w:szCs w:val="22"/>
              </w:rPr>
              <w:t xml:space="preserve">Batas kejujuran cakupan</w:t>
            </w:r>
          </w:p>
          <w:p>
            <w:pPr>
              <w:spacing w:after="60" w:line="276"/>
            </w:pPr>
            <w:r>
              <w:rPr>
                <w:rFonts w:ascii="Calibri" w:cs="Calibri" w:eastAsia="Calibri" w:hAnsi="Calibri"/>
                <w:sz w:val="22"/>
                <w:szCs w:val="22"/>
              </w:rPr>
              <w:t xml:space="preserve">Daftar ini memuat celah yang DINYATAKAN PENULIS di dalam naskah, bukan hasil analisis sistem atas apa yang belum pernah diteliti.</w:t>
            </w:r>
          </w:p>
          <w:p>
            <w:pPr>
              <w:spacing w:after="60" w:line="276"/>
            </w:pPr>
            <w:r>
              <w:rPr>
                <w:rFonts w:ascii="Calibri" w:cs="Calibri" w:eastAsia="Calibri" w:hAnsi="Calibri"/>
                <w:sz w:val="22"/>
                <w:szCs w:val="22"/>
              </w:rPr>
              <w:t xml:space="preserve">Cakupannya terbatas pada korpus yang dimiliki sistem. Sistem tidak boleh menyatakan suatu topik belum pernah diteliti — hanya bahwa topik itu tidak ditemukan dalam korpus ini.</w:t>
            </w:r>
          </w:p>
        </w:tc>
      </w:tr>
    </w:tbl>
    <w:p>
      <w:pPr>
        <w:spacing w:after="200"/>
      </w:pPr>
    </w:p>
    <w:p>
      <w:pPr>
        <w:pStyle w:val="Heading2"/>
        <w:spacing w:after="140" w:before="280"/>
      </w:pPr>
      <w:r>
        <w:rPr>
          <w:rFonts w:ascii="Calibri" w:cs="Calibri" w:eastAsia="Calibri" w:hAnsi="Calibri"/>
          <w:b/>
          <w:bCs/>
          <w:color w:val="1F4E79"/>
          <w:sz w:val="25"/>
          <w:szCs w:val="25"/>
        </w:rPr>
        <w:t xml:space="preserve">2.8 PB-06 — Tata Kelola Pengguna dan Audit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685"/>
        <w:gridCol w:w="5429"/>
        <w:gridCol w:w="2246"/>
      </w:tblGrid>
      <w:tr>
        <w:trPr>
          <w:tblHeader/>
        </w:trPr>
        <w:tc>
          <w:tcPr>
            <w:tcW w:type="dxa" w:w="1685"/>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Tahap</w:t>
            </w:r>
          </w:p>
        </w:tc>
        <w:tc>
          <w:tcPr>
            <w:tcW w:type="dxa" w:w="542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Kegiatan</w:t>
            </w:r>
          </w:p>
        </w:tc>
        <w:tc>
          <w:tcPr>
            <w:tcW w:type="dxa" w:w="2246"/>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Pelaksana</w:t>
            </w:r>
          </w:p>
        </w:tc>
      </w:tr>
      <w:tr>
        <w:tc>
          <w:tcPr>
            <w:tcW w:type="dxa" w:w="1685"/>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 Pendaftaran</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Akun dibuat administrator beserta peran dan unit kerjanya</w:t>
            </w:r>
          </w:p>
        </w:tc>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w:t>
            </w:r>
          </w:p>
        </w:tc>
      </w:tr>
      <w:tr>
        <w:tc>
          <w:tcPr>
            <w:tcW w:type="dxa" w:w="1685"/>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2. Autentikasi</w:t>
            </w:r>
          </w:p>
        </w:tc>
        <w:tc>
          <w:tcPr>
            <w:tcW w:type="dxa" w:w="542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 masuk dan memperoleh sesi berbatas waktu</w:t>
            </w:r>
          </w:p>
        </w:tc>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w:t>
            </w:r>
          </w:p>
        </w:tc>
      </w:tr>
      <w:tr>
        <w:tc>
          <w:tcPr>
            <w:tcW w:type="dxa" w:w="1685"/>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3. Otorisasi</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Setiap permintaan diperiksa terhadap peran pengguna</w:t>
            </w:r>
          </w:p>
        </w:tc>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w:t>
            </w:r>
          </w:p>
        </w:tc>
      </w:tr>
      <w:tr>
        <w:tc>
          <w:tcPr>
            <w:tcW w:type="dxa" w:w="1685"/>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4. Pencatatan</w:t>
            </w:r>
          </w:p>
        </w:tc>
        <w:tc>
          <w:tcPr>
            <w:tcW w:type="dxa" w:w="542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Aktivitas penting dicatat pada log audit</w:t>
            </w:r>
          </w:p>
        </w:tc>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w:t>
            </w:r>
          </w:p>
        </w:tc>
      </w:tr>
      <w:tr>
        <w:tc>
          <w:tcPr>
            <w:tcW w:type="dxa" w:w="1685"/>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5. Peninjauan</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Log audit dan riwayat percakapan ditinjau berkala</w:t>
            </w:r>
          </w:p>
        </w:tc>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w:t>
            </w:r>
          </w:p>
        </w:tc>
      </w:tr>
    </w:tbl>
    <w:p>
      <w:pPr>
        <w:spacing w:after="120"/>
      </w:pPr>
    </w:p>
    <w:p>
      <w:pPr>
        <w:spacing w:after="120" w:line="276"/>
      </w:pPr>
      <w:r>
        <w:rPr>
          <w:rFonts w:ascii="Calibri" w:cs="Calibri" w:eastAsia="Calibri" w:hAnsi="Calibri"/>
          <w:sz w:val="22"/>
          <w:szCs w:val="22"/>
        </w:rPr>
        <w:t xml:space="preserve">Aktivitas yang tercatat pada log audit antara lain:</w:t>
      </w:r>
    </w:p>
    <w:p>
      <w:pPr>
        <w:pStyle w:val="ListParagraph"/>
        <w:numPr>
          <w:ilvl w:val="0"/>
          <w:numId w:val="2"/>
        </w:numPr>
        <w:spacing w:after="80" w:line="276"/>
      </w:pPr>
      <w:r>
        <w:rPr>
          <w:rFonts w:ascii="Calibri" w:cs="Calibri" w:eastAsia="Calibri" w:hAnsi="Calibri"/>
          <w:sz w:val="22"/>
          <w:szCs w:val="22"/>
        </w:rPr>
        <w:t xml:space="preserve">Pengajuan pertanyaan dan permintaan kajian</w:t>
      </w:r>
    </w:p>
    <w:p>
      <w:pPr>
        <w:pStyle w:val="ListParagraph"/>
        <w:numPr>
          <w:ilvl w:val="0"/>
          <w:numId w:val="2"/>
        </w:numPr>
        <w:spacing w:after="80" w:line="276"/>
      </w:pPr>
      <w:r>
        <w:rPr>
          <w:rFonts w:ascii="Calibri" w:cs="Calibri" w:eastAsia="Calibri" w:hAnsi="Calibri"/>
          <w:sz w:val="22"/>
          <w:szCs w:val="22"/>
        </w:rPr>
        <w:t xml:space="preserve">Penambahan, pengubahan, dan penghapusan naskah</w:t>
      </w:r>
    </w:p>
    <w:p>
      <w:pPr>
        <w:pStyle w:val="ListParagraph"/>
        <w:numPr>
          <w:ilvl w:val="0"/>
          <w:numId w:val="2"/>
        </w:numPr>
        <w:spacing w:after="80" w:line="276"/>
      </w:pPr>
      <w:r>
        <w:rPr>
          <w:rFonts w:ascii="Calibri" w:cs="Calibri" w:eastAsia="Calibri" w:hAnsi="Calibri"/>
          <w:sz w:val="22"/>
          <w:szCs w:val="22"/>
        </w:rPr>
        <w:t xml:space="preserve">Penetapan tautan resmi peraturan</w:t>
      </w:r>
    </w:p>
    <w:p>
      <w:pPr>
        <w:pStyle w:val="ListParagraph"/>
        <w:numPr>
          <w:ilvl w:val="0"/>
          <w:numId w:val="2"/>
        </w:numPr>
        <w:spacing w:after="80" w:line="276"/>
      </w:pPr>
      <w:r>
        <w:rPr>
          <w:rFonts w:ascii="Calibri" w:cs="Calibri" w:eastAsia="Calibri" w:hAnsi="Calibri"/>
          <w:sz w:val="22"/>
          <w:szCs w:val="22"/>
        </w:rPr>
        <w:t xml:space="preserve">Pelaksanaan panen celah riset dan sinkronisasi terbitan</w:t>
      </w:r>
    </w:p>
    <w:p>
      <w:r>
        <w:br w:type="page"/>
      </w:r>
    </w:p>
    <w:p>
      <w:pPr>
        <w:pStyle w:val="Heading1"/>
        <w:spacing w:after="140" w:before="280"/>
      </w:pPr>
      <w:r>
        <w:rPr>
          <w:rFonts w:ascii="Calibri" w:cs="Calibri" w:eastAsia="Calibri" w:hAnsi="Calibri"/>
          <w:b/>
          <w:bCs/>
          <w:color w:val="1F4E79"/>
          <w:sz w:val="30"/>
          <w:szCs w:val="30"/>
        </w:rPr>
        <w:t xml:space="preserve">3. Single Sign On (SSO)</w:t>
      </w:r>
    </w:p>
    <w:tbl>
      <w:tblPr>
        <w:tblW w:type="dxa" w:w="9360"/>
        <w:tblBorders>
          <w:top w:val="single" w:color="A63A3A" w:sz="6"/>
          <w:left w:val="single" w:color="A63A3A" w:sz="18"/>
          <w:bottom w:val="single" w:color="A63A3A" w:sz="6"/>
          <w:right w:val="single" w:color="A63A3A" w:sz="6"/>
          <w:insideH w:val="none"/>
          <w:insideV w:val="none"/>
        </w:tblBorders>
      </w:tblPr>
      <w:tblGrid>
        <w:gridCol w:w="9360"/>
      </w:tblGrid>
      <w:tr>
        <w:tc>
          <w:tcPr>
            <w:tcW w:type="dxa" w:w="9360"/>
            <w:shd w:fill="FCF4F4" w:val="clear"/>
            <w:tcMar>
              <w:top w:type="dxa" w:w="160"/>
              <w:left w:type="dxa" w:w="200"/>
              <w:bottom w:type="dxa" w:w="160"/>
              <w:right w:type="dxa" w:w="200"/>
            </w:tcMar>
          </w:tcPr>
          <w:p>
            <w:pPr>
              <w:spacing w:after="60" w:line="276"/>
            </w:pPr>
            <w:r>
              <w:rPr>
                <w:rFonts w:ascii="Calibri" w:cs="Calibri" w:eastAsia="Calibri" w:hAnsi="Calibri"/>
                <w:b/>
                <w:bCs/>
                <w:color w:val="A63A3A"/>
                <w:sz w:val="22"/>
                <w:szCs w:val="22"/>
              </w:rPr>
              <w:t xml:space="preserve">Status penerapan</w:t>
            </w:r>
          </w:p>
          <w:p>
            <w:pPr>
              <w:spacing w:after="60" w:line="276"/>
            </w:pPr>
            <w:r>
              <w:rPr>
                <w:rFonts w:ascii="Calibri" w:cs="Calibri" w:eastAsia="Calibri" w:hAnsi="Calibri"/>
                <w:sz w:val="22"/>
                <w:szCs w:val="22"/>
              </w:rPr>
              <w:t xml:space="preserve">SSO BELUM diterapkan pada sistem. Autentikasi yang berjalan saat ini menggunakan akun mandiri berupa surel dan kata sandi.</w:t>
            </w:r>
          </w:p>
          <w:p>
            <w:pPr>
              <w:spacing w:after="60" w:line="276"/>
            </w:pPr>
            <w:r>
              <w:rPr>
                <w:rFonts w:ascii="Calibri" w:cs="Calibri" w:eastAsia="Calibri" w:hAnsi="Calibri"/>
                <w:sz w:val="22"/>
                <w:szCs w:val="22"/>
              </w:rPr>
              <w:t xml:space="preserve">Bab ini menguraikan mekanisme yang berjalan sekarang (3.1) dan rancangan penerapan SSO (3.2–3.5) yang memerlukan keputusan dan dukungan pengelola identitas kementerian.</w:t>
            </w:r>
          </w:p>
        </w:tc>
      </w:tr>
    </w:tbl>
    <w:p>
      <w:pPr>
        <w:spacing w:after="120"/>
      </w:pPr>
    </w:p>
    <w:p>
      <w:pPr>
        <w:pStyle w:val="Heading2"/>
        <w:spacing w:after="140" w:before="280"/>
      </w:pPr>
      <w:r>
        <w:rPr>
          <w:rFonts w:ascii="Calibri" w:cs="Calibri" w:eastAsia="Calibri" w:hAnsi="Calibri"/>
          <w:b/>
          <w:bCs/>
          <w:color w:val="1F4E79"/>
          <w:sz w:val="25"/>
          <w:szCs w:val="25"/>
        </w:rPr>
        <w:t xml:space="preserve">3.1 Mekanisme Autentikasi yang Berjalan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34"/>
        <w:gridCol w:w="6926"/>
      </w:tblGrid>
      <w:tr>
        <w:trPr>
          <w:tblHeader/>
        </w:trPr>
        <w:tc>
          <w:tcPr>
            <w:tcW w:type="dxa" w:w="2434"/>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Aspek</w:t>
            </w:r>
          </w:p>
        </w:tc>
        <w:tc>
          <w:tcPr>
            <w:tcW w:type="dxa" w:w="6926"/>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Penerapan Saat Ini</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Identitas pengguna</w:t>
            </w:r>
          </w:p>
        </w:tc>
        <w:tc>
          <w:tcPr>
            <w:tcW w:type="dxa" w:w="692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Akun mandiri: surel dan kata sandi, dibuat oleh administrator</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Penyimpanan kata sandi</w:t>
            </w:r>
          </w:p>
        </w:tc>
        <w:tc>
          <w:tcPr>
            <w:tcW w:type="dxa" w:w="692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Tidak disimpan sebagai teks; diubah menjadi sidik acak berpenggaram</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Sesi</w:t>
            </w:r>
          </w:p>
        </w:tc>
        <w:tc>
          <w:tcPr>
            <w:tcW w:type="dxa" w:w="692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Cookie sesi bertanda tangan digital, berlaku 7 hari</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Perlindungan cookie</w:t>
            </w:r>
          </w:p>
        </w:tc>
        <w:tc>
          <w:tcPr>
            <w:tcW w:type="dxa" w:w="692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Hanya dapat dibaca server, dikirim lewat kanal aman, dibatasi satu situs</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Peran</w:t>
            </w:r>
          </w:p>
        </w:tc>
        <w:tc>
          <w:tcPr>
            <w:tcW w:type="dxa" w:w="692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Dua peran: administrator dan pengguna unit</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Unit kerja</w:t>
            </w:r>
          </w:p>
        </w:tc>
        <w:tc>
          <w:tcPr>
            <w:tcW w:type="dxa" w:w="692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Tercatat pada data pengguna sebagai penanda asal</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Akun pertama</w:t>
            </w:r>
          </w:p>
        </w:tc>
        <w:tc>
          <w:tcPr>
            <w:tcW w:type="dxa" w:w="692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Dibuat otomatis dari konfigurasi saat sistem pertama kali dijalankan</w:t>
            </w:r>
          </w:p>
        </w:tc>
      </w:tr>
    </w:tbl>
    <w:p>
      <w:pPr>
        <w:spacing w:after="120"/>
      </w:pPr>
    </w:p>
    <w:p>
      <w:pPr>
        <w:spacing w:after="120" w:line="276"/>
      </w:pPr>
      <w:r>
        <w:rPr>
          <w:rFonts w:ascii="Calibri" w:cs="Calibri" w:eastAsia="Calibri" w:hAnsi="Calibri"/>
          <w:b/>
          <w:bCs/>
          <w:sz w:val="22"/>
          <w:szCs w:val="22"/>
        </w:rPr>
        <w:t xml:space="preserve">Keterbatasan yang mendorong penerapan SSO:</w:t>
      </w:r>
    </w:p>
    <w:p>
      <w:pPr>
        <w:pStyle w:val="ListParagraph"/>
        <w:numPr>
          <w:ilvl w:val="0"/>
          <w:numId w:val="2"/>
        </w:numPr>
        <w:spacing w:after="80" w:line="276"/>
      </w:pPr>
      <w:r>
        <w:rPr>
          <w:rFonts w:ascii="Calibri" w:cs="Calibri" w:eastAsia="Calibri" w:hAnsi="Calibri"/>
          <w:sz w:val="22"/>
          <w:szCs w:val="22"/>
        </w:rPr>
        <w:t xml:space="preserve">Pengguna harus mengingat kata sandi tambahan di luar akun kementerian.</w:t>
      </w:r>
    </w:p>
    <w:p>
      <w:pPr>
        <w:pStyle w:val="ListParagraph"/>
        <w:numPr>
          <w:ilvl w:val="0"/>
          <w:numId w:val="2"/>
        </w:numPr>
        <w:spacing w:after="80" w:line="276"/>
      </w:pPr>
      <w:r>
        <w:rPr>
          <w:rFonts w:ascii="Calibri" w:cs="Calibri" w:eastAsia="Calibri" w:hAnsi="Calibri"/>
          <w:sz w:val="22"/>
          <w:szCs w:val="22"/>
        </w:rPr>
        <w:t xml:space="preserve">Penonaktifan pegawai yang pindah atau purna tugas harus dilakukan manual di sistem ini.</w:t>
      </w:r>
    </w:p>
    <w:p>
      <w:pPr>
        <w:pStyle w:val="ListParagraph"/>
        <w:numPr>
          <w:ilvl w:val="0"/>
          <w:numId w:val="2"/>
        </w:numPr>
        <w:spacing w:after="80" w:line="276"/>
      </w:pPr>
      <w:r>
        <w:rPr>
          <w:rFonts w:ascii="Calibri" w:cs="Calibri" w:eastAsia="Calibri" w:hAnsi="Calibri"/>
          <w:sz w:val="22"/>
          <w:szCs w:val="22"/>
        </w:rPr>
        <w:t xml:space="preserve">Kebijakan kata sandi dan autentikasi berlapis tidak mengikuti kebijakan pusat.</w:t>
      </w:r>
    </w:p>
    <w:p>
      <w:pPr>
        <w:pStyle w:val="ListParagraph"/>
        <w:numPr>
          <w:ilvl w:val="0"/>
          <w:numId w:val="2"/>
        </w:numPr>
        <w:spacing w:after="80" w:line="276"/>
      </w:pPr>
      <w:r>
        <w:rPr>
          <w:rFonts w:ascii="Calibri" w:cs="Calibri" w:eastAsia="Calibri" w:hAnsi="Calibri"/>
          <w:sz w:val="22"/>
          <w:szCs w:val="22"/>
        </w:rPr>
        <w:t xml:space="preserve">Administrator menanggung beban pengelolaan akun yang sebenarnya sudah ada di sistem kepegawaian.</w:t>
      </w:r>
    </w:p>
    <w:p>
      <w:r>
        <w:br w:type="page"/>
      </w:r>
    </w:p>
    <w:p>
      <w:pPr>
        <w:pStyle w:val="Heading2"/>
        <w:spacing w:after="140" w:before="280"/>
      </w:pPr>
      <w:r>
        <w:rPr>
          <w:rFonts w:ascii="Calibri" w:cs="Calibri" w:eastAsia="Calibri" w:hAnsi="Calibri"/>
          <w:b/>
          <w:bCs/>
          <w:color w:val="1F4E79"/>
          <w:sz w:val="25"/>
          <w:szCs w:val="25"/>
        </w:rPr>
        <w:t xml:space="preserve">3.2 Rancangan Penerapan SSO</w:t>
      </w:r>
    </w:p>
    <w:p>
      <w:pPr>
        <w:spacing w:after="120" w:line="276"/>
      </w:pPr>
      <w:r>
        <w:rPr>
          <w:rFonts w:ascii="Calibri" w:cs="Calibri" w:eastAsia="Calibri" w:hAnsi="Calibri"/>
          <w:sz w:val="22"/>
          <w:szCs w:val="22"/>
        </w:rPr>
        <w:t xml:space="preserve">Rancangan menggunakan protokol OpenID Connect, yang lazim dipakai penyedia identitas instansi pemerintah dan didukung kerangka kerja aplikasi ini.</w:t>
      </w:r>
    </w:p>
    <w:p>
      <w:pPr>
        <w:spacing w:after="40"/>
      </w:pPr>
      <w:r>
        <w:rPr>
          <w:rFonts w:ascii="Consolas" w:cs="Consolas" w:eastAsia="Consolas" w:hAnsi="Consolas"/>
          <w:color w:val="333333"/>
          <w:sz w:val="17"/>
          <w:szCs w:val="17"/>
        </w:rPr>
        <w:t xml:space="preserve">   SEKARANG (berjalan)                    TARGET (rancangan)</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w:t>
      </w:r>
    </w:p>
    <w:p>
      <w:pPr>
        <w:spacing w:after="40"/>
      </w:pPr>
      <w:r>
        <w:rPr>
          <w:rFonts w:ascii="Consolas" w:cs="Consolas" w:eastAsia="Consolas" w:hAnsi="Consolas"/>
          <w:color w:val="333333"/>
          <w:sz w:val="17"/>
          <w:szCs w:val="17"/>
        </w:rPr>
        <w:t xml:space="preserve">   Pengguna                               Pengguna           </w:t>
      </w:r>
    </w:p>
    <w:p>
      <w:pPr>
        <w:spacing w:after="40"/>
      </w:pPr>
      <w:r>
        <w:rPr>
          <w:rFonts w:ascii="Consolas" w:cs="Consolas" w:eastAsia="Consolas" w:hAnsi="Consolas"/>
          <w:color w:val="333333"/>
          <w:sz w:val="17"/>
          <w:szCs w:val="17"/>
        </w:rPr>
        <w:t xml:space="preserve">      │ email + kata sandi                   │ klik "Masuk"  </w:t>
      </w:r>
    </w:p>
    <w:p>
      <w:pPr>
        <w:spacing w:after="40"/>
      </w:pPr>
      <w:r>
        <w:rPr>
          <w:rFonts w:ascii="Consolas" w:cs="Consolas" w:eastAsia="Consolas" w:hAnsi="Consolas"/>
          <w:color w:val="333333"/>
          <w:sz w:val="17"/>
          <w:szCs w:val="17"/>
        </w:rPr>
        <w:t xml:space="preserve">      ▼                                      ▼               </w:t>
      </w:r>
    </w:p>
    <w:p>
      <w:pPr>
        <w:spacing w:after="40"/>
      </w:pPr>
      <w:r>
        <w:rPr>
          <w:rFonts w:ascii="Consolas" w:cs="Consolas" w:eastAsia="Consolas" w:hAnsi="Consolas"/>
          <w:color w:val="333333"/>
          <w:sz w:val="17"/>
          <w:szCs w:val="17"/>
        </w:rPr>
        <w:t xml:space="preserve">   JP-Insight                             JP-Insight         </w:t>
      </w:r>
    </w:p>
    <w:p>
      <w:pPr>
        <w:spacing w:after="40"/>
      </w:pPr>
      <w:r>
        <w:rPr>
          <w:rFonts w:ascii="Consolas" w:cs="Consolas" w:eastAsia="Consolas" w:hAnsi="Consolas"/>
          <w:color w:val="333333"/>
          <w:sz w:val="17"/>
          <w:szCs w:val="17"/>
        </w:rPr>
        <w:t xml:space="preserve">      │ verifikasi scrypt                    │ alihkan       </w:t>
      </w:r>
    </w:p>
    <w:p>
      <w:pPr>
        <w:spacing w:after="40"/>
      </w:pPr>
      <w:r>
        <w:rPr>
          <w:rFonts w:ascii="Consolas" w:cs="Consolas" w:eastAsia="Consolas" w:hAnsi="Consolas"/>
          <w:color w:val="333333"/>
          <w:sz w:val="17"/>
          <w:szCs w:val="17"/>
        </w:rPr>
        <w:t xml:space="preserve">      │                                      ▼               </w:t>
      </w:r>
    </w:p>
    <w:p>
      <w:pPr>
        <w:spacing w:after="40"/>
      </w:pPr>
      <w:r>
        <w:rPr>
          <w:rFonts w:ascii="Consolas" w:cs="Consolas" w:eastAsia="Consolas" w:hAnsi="Consolas"/>
          <w:color w:val="333333"/>
          <w:sz w:val="17"/>
          <w:szCs w:val="17"/>
        </w:rPr>
        <w:t xml:space="preserve">      │                                  Penyedia Identitas  </w:t>
      </w:r>
    </w:p>
    <w:p>
      <w:pPr>
        <w:spacing w:after="40"/>
      </w:pPr>
      <w:r>
        <w:rPr>
          <w:rFonts w:ascii="Consolas" w:cs="Consolas" w:eastAsia="Consolas" w:hAnsi="Consolas"/>
          <w:color w:val="333333"/>
          <w:sz w:val="17"/>
          <w:szCs w:val="17"/>
        </w:rPr>
        <w:t xml:space="preserve">      │                                  KemenPU (OIDC)      </w:t>
      </w:r>
    </w:p>
    <w:p>
      <w:pPr>
        <w:spacing w:after="40"/>
      </w:pPr>
      <w:r>
        <w:rPr>
          <w:rFonts w:ascii="Consolas" w:cs="Consolas" w:eastAsia="Consolas" w:hAnsi="Consolas"/>
          <w:color w:val="333333"/>
          <w:sz w:val="17"/>
          <w:szCs w:val="17"/>
        </w:rPr>
        <w:t xml:space="preserve">      │                                      │ token identitas</w:t>
      </w:r>
    </w:p>
    <w:p>
      <w:pPr>
        <w:spacing w:after="40"/>
      </w:pPr>
      <w:r>
        <w:rPr>
          <w:rFonts w:ascii="Consolas" w:cs="Consolas" w:eastAsia="Consolas" w:hAnsi="Consolas"/>
          <w:color w:val="333333"/>
          <w:sz w:val="17"/>
          <w:szCs w:val="17"/>
        </w:rPr>
        <w:t xml:space="preserve">      ▼                                      ▼               </w:t>
      </w:r>
    </w:p>
    <w:p>
      <w:pPr>
        <w:spacing w:after="40"/>
      </w:pPr>
      <w:r>
        <w:rPr>
          <w:rFonts w:ascii="Consolas" w:cs="Consolas" w:eastAsia="Consolas" w:hAnsi="Consolas"/>
          <w:color w:val="333333"/>
          <w:sz w:val="17"/>
          <w:szCs w:val="17"/>
        </w:rPr>
        <w:t xml:space="preserve">   Cookie sesi                            JP-Insight         </w:t>
      </w:r>
    </w:p>
    <w:p>
      <w:pPr>
        <w:spacing w:after="40"/>
      </w:pPr>
      <w:r>
        <w:rPr>
          <w:rFonts w:ascii="Consolas" w:cs="Consolas" w:eastAsia="Consolas" w:hAnsi="Consolas"/>
          <w:color w:val="333333"/>
          <w:sz w:val="17"/>
          <w:szCs w:val="17"/>
        </w:rPr>
        <w:t xml:space="preserve">   jp_session (HMAC)                         │ petakan peran </w:t>
      </w:r>
    </w:p>
    <w:p>
      <w:pPr>
        <w:spacing w:after="40"/>
      </w:pPr>
      <w:r>
        <w:rPr>
          <w:rFonts w:ascii="Consolas" w:cs="Consolas" w:eastAsia="Consolas" w:hAnsi="Consolas"/>
          <w:color w:val="333333"/>
          <w:sz w:val="17"/>
          <w:szCs w:val="17"/>
        </w:rPr>
        <w:t xml:space="preserve">      │                                      ▼               </w:t>
      </w:r>
    </w:p>
    <w:p>
      <w:pPr>
        <w:spacing w:after="40"/>
      </w:pPr>
      <w:r>
        <w:rPr>
          <w:rFonts w:ascii="Consolas" w:cs="Consolas" w:eastAsia="Consolas" w:hAnsi="Consolas"/>
          <w:color w:val="333333"/>
          <w:sz w:val="17"/>
          <w:szCs w:val="17"/>
        </w:rPr>
        <w:t xml:space="preserve">      ▼                                  Cookie sesi         </w:t>
      </w:r>
    </w:p>
    <w:p>
      <w:pPr>
        <w:spacing w:after="40"/>
      </w:pPr>
      <w:r>
        <w:rPr>
          <w:rFonts w:ascii="Consolas" w:cs="Consolas" w:eastAsia="Consolas" w:hAnsi="Consolas"/>
          <w:color w:val="333333"/>
          <w:sz w:val="17"/>
          <w:szCs w:val="17"/>
        </w:rPr>
        <w:t xml:space="preserve">   Akses sesuai peran                    Akses sesuai peran  </w:t>
      </w:r>
    </w:p>
    <w:p>
      <w:pPr>
        <w:spacing w:after="16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872"/>
        <w:gridCol w:w="7488"/>
      </w:tblGrid>
      <w:tr>
        <w:trPr>
          <w:tblHeader/>
        </w:trPr>
        <w:tc>
          <w:tcPr>
            <w:tcW w:type="dxa" w:w="1872"/>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Tahap</w:t>
            </w:r>
          </w:p>
        </w:tc>
        <w:tc>
          <w:tcPr>
            <w:tcW w:type="dxa" w:w="7488"/>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Kegiatan</w:t>
            </w:r>
          </w:p>
        </w:tc>
      </w:tr>
      <w:tr>
        <w:tc>
          <w:tcPr>
            <w:tcW w:type="dxa" w:w="187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 Permintaan masuk</w:t>
            </w:r>
          </w:p>
        </w:tc>
        <w:tc>
          <w:tcPr>
            <w:tcW w:type="dxa" w:w="748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 menekan tombol masuk; sistem mengalihkan ke penyedia identitas kementerian</w:t>
            </w:r>
          </w:p>
        </w:tc>
      </w:tr>
      <w:tr>
        <w:tc>
          <w:tcPr>
            <w:tcW w:type="dxa" w:w="187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2. Autentikasi</w:t>
            </w:r>
          </w:p>
        </w:tc>
        <w:tc>
          <w:tcPr>
            <w:tcW w:type="dxa" w:w="748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 memasukkan kredensial pada halaman penyedia identitas, bukan pada JP-Insight</w:t>
            </w:r>
          </w:p>
        </w:tc>
      </w:tr>
      <w:tr>
        <w:tc>
          <w:tcPr>
            <w:tcW w:type="dxa" w:w="187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3. Pengembalian</w:t>
            </w:r>
          </w:p>
        </w:tc>
        <w:tc>
          <w:tcPr>
            <w:tcW w:type="dxa" w:w="748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Penyedia identitas mengembalikan pengguna beserta token identitas yang tertandatangani</w:t>
            </w:r>
          </w:p>
        </w:tc>
      </w:tr>
      <w:tr>
        <w:tc>
          <w:tcPr>
            <w:tcW w:type="dxa" w:w="187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4. Verifikasi</w:t>
            </w:r>
          </w:p>
        </w:tc>
        <w:tc>
          <w:tcPr>
            <w:tcW w:type="dxa" w:w="748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Sistem memverifikasi tanda tangan, masa berlaku, dan penerima token</w:t>
            </w:r>
          </w:p>
        </w:tc>
      </w:tr>
      <w:tr>
        <w:tc>
          <w:tcPr>
            <w:tcW w:type="dxa" w:w="187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5. Pemetaan</w:t>
            </w:r>
          </w:p>
        </w:tc>
        <w:tc>
          <w:tcPr>
            <w:tcW w:type="dxa" w:w="748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Identitas dicocokkan dengan data pengguna; peran ditetapkan dari atribut yang dikirim</w:t>
            </w:r>
          </w:p>
        </w:tc>
      </w:tr>
      <w:tr>
        <w:tc>
          <w:tcPr>
            <w:tcW w:type="dxa" w:w="187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6. Pembuatan sesi</w:t>
            </w:r>
          </w:p>
        </w:tc>
        <w:tc>
          <w:tcPr>
            <w:tcW w:type="dxa" w:w="748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Sesi dibuat sebagaimana mekanisme yang berjalan sekarang</w:t>
            </w:r>
          </w:p>
        </w:tc>
      </w:tr>
    </w:tbl>
    <w:p>
      <w:pPr>
        <w:spacing w:after="120"/>
      </w:pPr>
    </w:p>
    <w:p>
      <w:pPr>
        <w:pStyle w:val="Heading2"/>
        <w:spacing w:after="140" w:before="280"/>
      </w:pPr>
      <w:r>
        <w:rPr>
          <w:rFonts w:ascii="Calibri" w:cs="Calibri" w:eastAsia="Calibri" w:hAnsi="Calibri"/>
          <w:b/>
          <w:bCs/>
          <w:color w:val="1F4E79"/>
          <w:sz w:val="25"/>
          <w:szCs w:val="25"/>
        </w:rPr>
        <w:t xml:space="preserve">3.3 Pemetaan Peran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370"/>
        <w:gridCol w:w="2246"/>
        <w:gridCol w:w="3744"/>
      </w:tblGrid>
      <w:tr>
        <w:trPr>
          <w:tblHeader/>
        </w:trPr>
        <w:tc>
          <w:tcPr>
            <w:tcW w:type="dxa" w:w="3370"/>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Atribut dari Penyedia Identitas</w:t>
            </w:r>
          </w:p>
        </w:tc>
        <w:tc>
          <w:tcPr>
            <w:tcW w:type="dxa" w:w="2246"/>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Peran di JP-Insight</w:t>
            </w:r>
          </w:p>
        </w:tc>
        <w:tc>
          <w:tcPr>
            <w:tcW w:type="dxa" w:w="3744"/>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Hak Akses</w:t>
            </w:r>
          </w:p>
        </w:tc>
      </w:tr>
      <w:tr>
        <w:tc>
          <w:tcPr>
            <w:tcW w:type="dxa" w:w="337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Grup pengelola sistem</w:t>
            </w:r>
          </w:p>
        </w:tc>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Seluruh fungsi termasuk kurasi dan kelola pengguna</w:t>
            </w:r>
          </w:p>
        </w:tc>
      </w:tr>
      <w:tr>
        <w:tc>
          <w:tcPr>
            <w:tcW w:type="dxa" w:w="337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Grup pengelola jurnal</w:t>
            </w:r>
          </w:p>
        </w:tc>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 unit</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Seluruh fungsi pengguna</w:t>
            </w:r>
          </w:p>
        </w:tc>
      </w:tr>
      <w:tr>
        <w:tc>
          <w:tcPr>
            <w:tcW w:type="dxa" w:w="337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Pegawai terverifikasi</w:t>
            </w:r>
          </w:p>
        </w:tc>
        <w:tc>
          <w:tcPr>
            <w:tcW w:type="dxa" w:w="2246"/>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 unit</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Seluruh fungsi pengguna</w:t>
            </w:r>
          </w:p>
        </w:tc>
      </w:tr>
      <w:tr>
        <w:tc>
          <w:tcPr>
            <w:tcW w:type="dxa" w:w="337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Tidak dikenali</w:t>
            </w:r>
          </w:p>
        </w:tc>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Ditolak</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Tidak memperoleh akses</w:t>
            </w:r>
          </w:p>
        </w:tc>
      </w:tr>
    </w:tbl>
    <w:p>
      <w:pPr>
        <w:spacing w:after="120"/>
      </w:pPr>
    </w:p>
    <w:p>
      <w:pPr>
        <w:spacing w:after="120" w:line="276"/>
      </w:pPr>
      <w:r>
        <w:rPr>
          <w:rFonts w:ascii="Calibri" w:cs="Calibri" w:eastAsia="Calibri" w:hAnsi="Calibri"/>
          <w:i/>
          <w:iCs/>
          <w:sz w:val="22"/>
          <w:szCs w:val="22"/>
        </w:rPr>
        <w:t xml:space="preserve">Pemetaan peran perlu disepakati bersama pengelola identitas kementerian, karena bergantung pada atribut yang benar-benar tersedia pada penyedia identitas.</w:t>
      </w:r>
    </w:p>
    <w:p>
      <w:pPr>
        <w:spacing w:after="200"/>
      </w:pPr>
    </w:p>
    <w:p>
      <w:pPr>
        <w:pStyle w:val="Heading2"/>
        <w:spacing w:after="140" w:before="280"/>
      </w:pPr>
      <w:r>
        <w:rPr>
          <w:rFonts w:ascii="Calibri" w:cs="Calibri" w:eastAsia="Calibri" w:hAnsi="Calibri"/>
          <w:b/>
          <w:bCs/>
          <w:color w:val="1F4E79"/>
          <w:sz w:val="25"/>
          <w:szCs w:val="25"/>
        </w:rPr>
        <w:t xml:space="preserve">3.4 Strategi Peralihan</w:t>
      </w:r>
    </w:p>
    <w:p>
      <w:pPr>
        <w:pStyle w:val="ListParagraph"/>
        <w:numPr>
          <w:ilvl w:val="0"/>
          <w:numId w:val="3"/>
        </w:numPr>
        <w:spacing w:after="80" w:line="276"/>
      </w:pPr>
      <w:r>
        <w:rPr>
          <w:rFonts w:ascii="Calibri" w:cs="Calibri" w:eastAsia="Calibri" w:hAnsi="Calibri"/>
          <w:sz w:val="22"/>
          <w:szCs w:val="22"/>
        </w:rPr>
        <w:t xml:space="preserve">Masa berdampingan: SSO dan akun mandiri berjalan bersamaan, agar layanan tidak terputus bila penyedia identitas bermasalah.</w:t>
      </w:r>
    </w:p>
    <w:p>
      <w:pPr>
        <w:pStyle w:val="ListParagraph"/>
        <w:numPr>
          <w:ilvl w:val="0"/>
          <w:numId w:val="3"/>
        </w:numPr>
        <w:spacing w:after="80" w:line="276"/>
      </w:pPr>
      <w:r>
        <w:rPr>
          <w:rFonts w:ascii="Calibri" w:cs="Calibri" w:eastAsia="Calibri" w:hAnsi="Calibri"/>
          <w:sz w:val="22"/>
          <w:szCs w:val="22"/>
        </w:rPr>
        <w:t xml:space="preserve">Penautan akun: akun yang sudah ada ditautkan ke identitas kementerian melalui kesamaan surel.</w:t>
      </w:r>
    </w:p>
    <w:p>
      <w:pPr>
        <w:pStyle w:val="ListParagraph"/>
        <w:numPr>
          <w:ilvl w:val="0"/>
          <w:numId w:val="3"/>
        </w:numPr>
        <w:spacing w:after="80" w:line="276"/>
      </w:pPr>
      <w:r>
        <w:rPr>
          <w:rFonts w:ascii="Calibri" w:cs="Calibri" w:eastAsia="Calibri" w:hAnsi="Calibri"/>
          <w:sz w:val="22"/>
          <w:szCs w:val="22"/>
        </w:rPr>
        <w:t xml:space="preserve">SSO sebagai jalur utama: akun mandiri disisakan hanya untuk administrator sebagai jalur darurat.</w:t>
      </w:r>
    </w:p>
    <w:p>
      <w:pPr>
        <w:pStyle w:val="ListParagraph"/>
        <w:numPr>
          <w:ilvl w:val="0"/>
          <w:numId w:val="3"/>
        </w:numPr>
        <w:spacing w:after="80" w:line="276"/>
      </w:pPr>
      <w:r>
        <w:rPr>
          <w:rFonts w:ascii="Calibri" w:cs="Calibri" w:eastAsia="Calibri" w:hAnsi="Calibri"/>
          <w:sz w:val="22"/>
          <w:szCs w:val="22"/>
        </w:rPr>
        <w:t xml:space="preserve">Peninjauan: akun mandiri yang tidak lagi terpakai dinonaktifkan.</w:t>
      </w:r>
    </w:p>
    <w:p>
      <w:pPr>
        <w:spacing w:after="200"/>
      </w:pPr>
    </w:p>
    <w:p>
      <w:pPr>
        <w:pStyle w:val="Heading2"/>
        <w:spacing w:after="140" w:before="280"/>
      </w:pPr>
      <w:r>
        <w:rPr>
          <w:rFonts w:ascii="Calibri" w:cs="Calibri" w:eastAsia="Calibri" w:hAnsi="Calibri"/>
          <w:b/>
          <w:bCs/>
          <w:color w:val="1F4E79"/>
          <w:sz w:val="25"/>
          <w:szCs w:val="25"/>
        </w:rPr>
        <w:t xml:space="preserve">3.5 Prasyarat Penerapan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429"/>
        <w:gridCol w:w="3931"/>
      </w:tblGrid>
      <w:tr>
        <w:trPr>
          <w:tblHeader/>
        </w:trPr>
        <w:tc>
          <w:tcPr>
            <w:tcW w:type="dxa" w:w="542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Prasyarat</w:t>
            </w:r>
          </w:p>
        </w:tc>
        <w:tc>
          <w:tcPr>
            <w:tcW w:type="dxa" w:w="3931"/>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Pihak yang Menyediakan</w:t>
            </w:r>
          </w:p>
        </w:tc>
      </w:tr>
      <w:tr>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Ketersediaan penyedia identitas yang mendukung OpenID Connect</w:t>
            </w:r>
          </w:p>
        </w:tc>
        <w:tc>
          <w:tcPr>
            <w:tcW w:type="dxa" w:w="3931"/>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Pengelola TI kementerian</w:t>
            </w:r>
          </w:p>
        </w:tc>
      </w:tr>
      <w:tr>
        <w:tc>
          <w:tcPr>
            <w:tcW w:type="dxa" w:w="542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Pendaftaran aplikasi dan penerbitan kredensial klien</w:t>
            </w:r>
          </w:p>
        </w:tc>
        <w:tc>
          <w:tcPr>
            <w:tcW w:type="dxa" w:w="3931"/>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Pengelola identitas</w:t>
            </w:r>
          </w:p>
        </w:tc>
      </w:tr>
      <w:tr>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Kesepakatan atribut peran dan unit kerja yang dikirim</w:t>
            </w:r>
          </w:p>
        </w:tc>
        <w:tc>
          <w:tcPr>
            <w:tcW w:type="dxa" w:w="3931"/>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Pengelola identitas dan pengelola jurnal</w:t>
            </w:r>
          </w:p>
        </w:tc>
      </w:tr>
      <w:tr>
        <w:tc>
          <w:tcPr>
            <w:tcW w:type="dxa" w:w="542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Penetapan alamat pengalihan resmi aplikasi</w:t>
            </w:r>
          </w:p>
        </w:tc>
        <w:tc>
          <w:tcPr>
            <w:tcW w:type="dxa" w:w="3931"/>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Pengelola TI kementerian</w:t>
            </w:r>
          </w:p>
        </w:tc>
      </w:tr>
      <w:tr>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Kebijakan penanganan pengguna yang tidak terdaftar</w:t>
            </w:r>
          </w:p>
        </w:tc>
        <w:tc>
          <w:tcPr>
            <w:tcW w:type="dxa" w:w="3931"/>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Pengelola jurnal</w:t>
            </w:r>
          </w:p>
        </w:tc>
      </w:tr>
    </w:tbl>
    <w:p>
      <w:r>
        <w:br w:type="page"/>
      </w:r>
    </w:p>
    <w:p>
      <w:pPr>
        <w:pStyle w:val="Heading1"/>
        <w:spacing w:after="140" w:before="280"/>
      </w:pPr>
      <w:r>
        <w:rPr>
          <w:rFonts w:ascii="Calibri" w:cs="Calibri" w:eastAsia="Calibri" w:hAnsi="Calibri"/>
          <w:b/>
          <w:bCs/>
          <w:color w:val="1F4E79"/>
          <w:sz w:val="30"/>
          <w:szCs w:val="30"/>
        </w:rPr>
        <w:t xml:space="preserve">4. Fitur</w:t>
      </w:r>
    </w:p>
    <w:p>
      <w:pPr>
        <w:pStyle w:val="Heading2"/>
        <w:spacing w:after="140" w:before="280"/>
      </w:pPr>
      <w:r>
        <w:rPr>
          <w:rFonts w:ascii="Calibri" w:cs="Calibri" w:eastAsia="Calibri" w:hAnsi="Calibri"/>
          <w:b/>
          <w:bCs/>
          <w:color w:val="1F4E79"/>
          <w:sz w:val="25"/>
          <w:szCs w:val="25"/>
        </w:rPr>
        <w:t xml:space="preserve">4.1 Fitur yang Sudah Berjalan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49"/>
        <w:gridCol w:w="2434"/>
        <w:gridCol w:w="4493"/>
        <w:gridCol w:w="1684"/>
      </w:tblGrid>
      <w:tr>
        <w:trPr>
          <w:tblHeader/>
        </w:trPr>
        <w:tc>
          <w:tcPr>
            <w:tcW w:type="dxa" w:w="74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Kode</w:t>
            </w:r>
          </w:p>
        </w:tc>
        <w:tc>
          <w:tcPr>
            <w:tcW w:type="dxa" w:w="2434"/>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Fitur</w:t>
            </w:r>
          </w:p>
        </w:tc>
        <w:tc>
          <w:tcPr>
            <w:tcW w:type="dxa" w:w="4493"/>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Kegunaan bagi Pengguna</w:t>
            </w:r>
          </w:p>
        </w:tc>
        <w:tc>
          <w:tcPr>
            <w:tcW w:type="dxa" w:w="1684"/>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Akses</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F-01</w:t>
            </w:r>
          </w:p>
        </w:tc>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Unggah dan ekstraksi naskah</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Memasukkan naskah PDF/DOCX ke dalam korpus</w:t>
            </w:r>
          </w:p>
        </w:tc>
        <w:tc>
          <w:tcPr>
            <w:tcW w:type="dxa" w:w="168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F-02</w:t>
            </w:r>
          </w:p>
        </w:tc>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Sinkronisasi terbitan jurnal</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Menarik naskah baru dari arsip resmi secara otomatis</w:t>
            </w:r>
          </w:p>
        </w:tc>
        <w:tc>
          <w:tcPr>
            <w:tcW w:type="dxa" w:w="168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F-03</w:t>
            </w:r>
          </w:p>
        </w:tc>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Tanya jawab bersitasi</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Menjawab pertanyaan disertai sumber yang dapat dibuka</w:t>
            </w:r>
          </w:p>
        </w:tc>
        <w:tc>
          <w:tcPr>
            <w:tcW w:type="dxa" w:w="168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Semua pengguna</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F-04</w:t>
            </w:r>
          </w:p>
        </w:tc>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Kajian lintas naskah</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Mensintesis temuan beberapa naskah menjadi butir berklaim</w:t>
            </w:r>
          </w:p>
        </w:tc>
        <w:tc>
          <w:tcPr>
            <w:tcW w:type="dxa" w:w="168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Semua pengguna</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F-05</w:t>
            </w:r>
          </w:p>
        </w:tc>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Penilaian kekuatan bukti</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Menakar seberapa kuat dukungan atas suatu temuan</w:t>
            </w:r>
          </w:p>
        </w:tc>
        <w:tc>
          <w:tcPr>
            <w:tcW w:type="dxa" w:w="168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Semua pengguna</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F-06</w:t>
            </w:r>
          </w:p>
        </w:tc>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Penjaga sitasi</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Menolak jawaban yang tidak dapat ditelusuri sumbernya</w:t>
            </w:r>
          </w:p>
        </w:tc>
        <w:tc>
          <w:tcPr>
            <w:tcW w:type="dxa" w:w="168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Berjalan otomatis</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F-07</w:t>
            </w:r>
          </w:p>
        </w:tc>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Indeks peraturan dirujuk</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Menelusuri peraturan yang dirujuk korpus beserta naskahnya</w:t>
            </w:r>
          </w:p>
        </w:tc>
        <w:tc>
          <w:tcPr>
            <w:tcW w:type="dxa" w:w="168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Semua pengguna</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F-08</w:t>
            </w:r>
          </w:p>
        </w:tc>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Deteksi edisi lama</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Menandai naskah yang merujuk edisi standar lebih lama</w:t>
            </w:r>
          </w:p>
        </w:tc>
        <w:tc>
          <w:tcPr>
            <w:tcW w:type="dxa" w:w="168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Semua pengguna</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F-09</w:t>
            </w:r>
          </w:p>
        </w:tc>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Tautan sumber resmi</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Menautkan peraturan ke basis data JDIH resmi</w:t>
            </w:r>
          </w:p>
        </w:tc>
        <w:tc>
          <w:tcPr>
            <w:tcW w:type="dxa" w:w="168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Kurator menetapkan</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F-10</w:t>
            </w:r>
          </w:p>
        </w:tc>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Daftar celah riset</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Menelusuri celah riset yang dinyatakan penulis naskah</w:t>
            </w:r>
          </w:p>
        </w:tc>
        <w:tc>
          <w:tcPr>
            <w:tcW w:type="dxa" w:w="168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Semua pengguna</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F-11</w:t>
            </w:r>
          </w:p>
        </w:tc>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Riwayat percakapan</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Membuka kembali pertanyaan dan jawaban terdahulu</w:t>
            </w:r>
          </w:p>
        </w:tc>
        <w:tc>
          <w:tcPr>
            <w:tcW w:type="dxa" w:w="168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Semua pengguna</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F-12</w:t>
            </w:r>
          </w:p>
        </w:tc>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Penyaring tahun dan tema</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Membatasi penelusuran pada subset naskah tertentu</w:t>
            </w:r>
          </w:p>
        </w:tc>
        <w:tc>
          <w:tcPr>
            <w:tcW w:type="dxa" w:w="168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Semua pengguna</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F-13</w:t>
            </w:r>
          </w:p>
        </w:tc>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Kemampuan analisis</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Mengatur gaya analisis yang diterapkan pada jawaban</w:t>
            </w:r>
          </w:p>
        </w:tc>
        <w:tc>
          <w:tcPr>
            <w:tcW w:type="dxa" w:w="168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F-14</w:t>
            </w:r>
          </w:p>
        </w:tc>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Kelola pengguna dan audit</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Mengelola akun serta meninjau aktivitas sistem</w:t>
            </w:r>
          </w:p>
        </w:tc>
        <w:tc>
          <w:tcPr>
            <w:tcW w:type="dxa" w:w="168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Administrator</w:t>
            </w:r>
          </w:p>
        </w:tc>
      </w:tr>
    </w:tbl>
    <w:p>
      <w:pPr>
        <w:spacing w:after="120"/>
      </w:pPr>
    </w:p>
    <w:p>
      <w:pPr>
        <w:pStyle w:val="Heading2"/>
        <w:spacing w:after="140" w:before="280"/>
      </w:pPr>
      <w:r>
        <w:rPr>
          <w:rFonts w:ascii="Calibri" w:cs="Calibri" w:eastAsia="Calibri" w:hAnsi="Calibri"/>
          <w:b/>
          <w:bCs/>
          <w:color w:val="1F4E79"/>
          <w:sz w:val="25"/>
          <w:szCs w:val="25"/>
        </w:rPr>
        <w:t xml:space="preserve">4.2 Fitur yang Direncanakan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49"/>
        <w:gridCol w:w="3182"/>
        <w:gridCol w:w="5429"/>
      </w:tblGrid>
      <w:tr>
        <w:trPr>
          <w:tblHeader/>
        </w:trPr>
        <w:tc>
          <w:tcPr>
            <w:tcW w:type="dxa" w:w="74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Kode</w:t>
            </w:r>
          </w:p>
        </w:tc>
        <w:tc>
          <w:tcPr>
            <w:tcW w:type="dxa" w:w="3182"/>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Fitur</w:t>
            </w:r>
          </w:p>
        </w:tc>
        <w:tc>
          <w:tcPr>
            <w:tcW w:type="dxa" w:w="542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Kegunaan yang Dituju</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R-01</w:t>
            </w:r>
          </w:p>
        </w:tc>
        <w:tc>
          <w:tcPr>
            <w:tcW w:type="dxa" w:w="318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Perbandingan temuan antar naskah</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Menyusun tabel perbandingan metode, lokasi, dan hasil</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R-02</w:t>
            </w:r>
          </w:p>
        </w:tc>
        <w:tc>
          <w:tcPr>
            <w:tcW w:type="dxa" w:w="318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Deteksi pertentangan temuan</w:t>
            </w:r>
          </w:p>
        </w:tc>
        <w:tc>
          <w:tcPr>
            <w:tcW w:type="dxa" w:w="542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Menemukan naskah yang melaporkan arah hasil berlawanan</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R-03</w:t>
            </w:r>
          </w:p>
        </w:tc>
        <w:tc>
          <w:tcPr>
            <w:tcW w:type="dxa" w:w="318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Peta cakupan riset</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Menunjukkan area yang jarang atau belum tersentuh dalam korpus</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R-04</w:t>
            </w:r>
          </w:p>
        </w:tc>
        <w:tc>
          <w:tcPr>
            <w:tcW w:type="dxa" w:w="318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Pemeriksaan kesesuaian naskah</w:t>
            </w:r>
          </w:p>
        </w:tc>
        <w:tc>
          <w:tcPr>
            <w:tcW w:type="dxa" w:w="542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Menilai kesesuaian naskah dengan lingkup jurnal</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R-05</w:t>
            </w:r>
          </w:p>
        </w:tc>
        <w:tc>
          <w:tcPr>
            <w:tcW w:type="dxa" w:w="318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Penelusuran teks peraturan</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Sitasi peraturan sampai tingkat pasal dari teks aslinya</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R-06</w:t>
            </w:r>
          </w:p>
        </w:tc>
        <w:tc>
          <w:tcPr>
            <w:tcW w:type="dxa" w:w="318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Penandaan status peraturan</w:t>
            </w:r>
          </w:p>
        </w:tc>
        <w:tc>
          <w:tcPr>
            <w:tcW w:type="dxa" w:w="542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Peringatan bila naskah merujuk aturan yang telah dicabut</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R-07</w:t>
            </w:r>
          </w:p>
        </w:tc>
        <w:tc>
          <w:tcPr>
            <w:tcW w:type="dxa" w:w="318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Single Sign On</w:t>
            </w:r>
          </w:p>
        </w:tc>
        <w:tc>
          <w:tcPr>
            <w:tcW w:type="dxa" w:w="542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Masuk menggunakan akun kementerian</w:t>
            </w:r>
          </w:p>
        </w:tc>
      </w:tr>
    </w:tbl>
    <w:p>
      <w:r>
        <w:br w:type="page"/>
      </w:r>
    </w:p>
    <w:p>
      <w:pPr>
        <w:pStyle w:val="Heading1"/>
        <w:spacing w:after="140" w:before="280"/>
      </w:pPr>
      <w:r>
        <w:rPr>
          <w:rFonts w:ascii="Calibri" w:cs="Calibri" w:eastAsia="Calibri" w:hAnsi="Calibri"/>
          <w:b/>
          <w:bCs/>
          <w:color w:val="1F4E79"/>
          <w:sz w:val="30"/>
          <w:szCs w:val="30"/>
        </w:rPr>
        <w:t xml:space="preserve">5. Sumber Data</w:t>
      </w:r>
    </w:p>
    <w:p>
      <w:pPr>
        <w:pStyle w:val="Heading2"/>
        <w:spacing w:after="140" w:before="280"/>
      </w:pPr>
      <w:r>
        <w:rPr>
          <w:rFonts w:ascii="Calibri" w:cs="Calibri" w:eastAsia="Calibri" w:hAnsi="Calibri"/>
          <w:b/>
          <w:bCs/>
          <w:color w:val="1F4E79"/>
          <w:sz w:val="25"/>
          <w:szCs w:val="25"/>
        </w:rPr>
        <w:t xml:space="preserve">5.1 Rantai Data Sistem</w:t>
      </w:r>
    </w:p>
    <w:p>
      <w:pPr>
        <w:spacing w:after="40"/>
      </w:pPr>
      <w:r>
        <w:rPr>
          <w:rFonts w:ascii="Consolas" w:cs="Consolas" w:eastAsia="Consolas" w:hAnsi="Consolas"/>
          <w:color w:val="333333"/>
          <w:sz w:val="17"/>
          <w:szCs w:val="17"/>
        </w:rPr>
        <w:t xml:space="preserve">  SUMBER DATA            PENGOLAHAN                PENYIMPANAN           LAYANAN</w:t>
      </w:r>
    </w:p>
    <w:p>
      <w:pPr>
        <w:spacing w:after="40"/>
      </w:pPr>
      <w:r>
        <w:rPr>
          <w:rFonts w:ascii="Consolas" w:cs="Consolas" w:eastAsia="Consolas" w:hAnsi="Consolas"/>
          <w:color w:val="333333"/>
          <w:sz w:val="17"/>
          <w:szCs w:val="17"/>
        </w:rPr>
        <w:t xml:space="preserve">  ───────────            ──────────                ───────────           ───────</w:t>
      </w:r>
    </w:p>
    <w:p>
      <w:pPr>
        <w:spacing w:after="40"/>
      </w:pPr>
      <w:r>
        <w:rPr>
          <w:rFonts w:ascii="Consolas" w:cs="Consolas" w:eastAsia="Consolas" w:hAnsi="Consolas"/>
          <w:color w:val="333333"/>
          <w:sz w:val="17"/>
          <w:szCs w:val="17"/>
        </w:rPr>
        <w:t xml:space="preserve">                                                                                 </w:t>
      </w:r>
    </w:p>
    <w:p>
      <w:pPr>
        <w:spacing w:after="40"/>
      </w:pPr>
      <w:r>
        <w:rPr>
          <w:rFonts w:ascii="Consolas" w:cs="Consolas" w:eastAsia="Consolas" w:hAnsi="Consolas"/>
          <w:color w:val="333333"/>
          <w:sz w:val="17"/>
          <w:szCs w:val="17"/>
        </w:rPr>
        <w:t xml:space="preserve">  Arsip OJS  ──┐                                  ┌─ Postgres ─┐                 </w:t>
      </w:r>
    </w:p>
    <w:p>
      <w:pPr>
        <w:spacing w:after="40"/>
      </w:pPr>
      <w:r>
        <w:rPr>
          <w:rFonts w:ascii="Consolas" w:cs="Consolas" w:eastAsia="Consolas" w:hAnsi="Consolas"/>
          <w:color w:val="333333"/>
          <w:sz w:val="17"/>
          <w:szCs w:val="17"/>
        </w:rPr>
        <w:t xml:space="preserve">  (OAI-PMH)    │    ┌────────────────────┐        │  documents │                 </w:t>
      </w:r>
    </w:p>
    <w:p>
      <w:pPr>
        <w:spacing w:after="40"/>
      </w:pPr>
      <w:r>
        <w:rPr>
          <w:rFonts w:ascii="Consolas" w:cs="Consolas" w:eastAsia="Consolas" w:hAnsi="Consolas"/>
          <w:color w:val="333333"/>
          <w:sz w:val="17"/>
          <w:szCs w:val="17"/>
        </w:rPr>
        <w:t xml:space="preserve">               ├───►│ Ekstraksi teks     │───────►│  chunks    │                 </w:t>
      </w:r>
    </w:p>
    <w:p>
      <w:pPr>
        <w:spacing w:after="40"/>
      </w:pPr>
      <w:r>
        <w:rPr>
          <w:rFonts w:ascii="Consolas" w:cs="Consolas" w:eastAsia="Consolas" w:hAnsi="Consolas"/>
          <w:color w:val="333333"/>
          <w:sz w:val="17"/>
          <w:szCs w:val="17"/>
        </w:rPr>
        <w:t xml:space="preserve">  Unggah       │    │ Chunking           │        │  embeddings│◄──┐             </w:t>
      </w:r>
    </w:p>
    <w:p>
      <w:pPr>
        <w:spacing w:after="40"/>
      </w:pPr>
      <w:r>
        <w:rPr>
          <w:rFonts w:ascii="Consolas" w:cs="Consolas" w:eastAsia="Consolas" w:hAnsi="Consolas"/>
          <w:color w:val="333333"/>
          <w:sz w:val="17"/>
          <w:szCs w:val="17"/>
        </w:rPr>
        <w:t xml:space="preserve">  manual    ───┤    │ Embedding (lokal)  │        │  (pgvector)│   │             </w:t>
      </w:r>
    </w:p>
    <w:p>
      <w:pPr>
        <w:spacing w:after="40"/>
      </w:pPr>
      <w:r>
        <w:rPr>
          <w:rFonts w:ascii="Consolas" w:cs="Consolas" w:eastAsia="Consolas" w:hAnsi="Consolas"/>
          <w:color w:val="333333"/>
          <w:sz w:val="17"/>
          <w:szCs w:val="17"/>
        </w:rPr>
        <w:t xml:space="preserve">  PDF / DOCX   │    │ Panen rujukan      │        │  regulation│   │             </w:t>
      </w:r>
    </w:p>
    <w:p>
      <w:pPr>
        <w:spacing w:after="40"/>
      </w:pPr>
      <w:r>
        <w:rPr>
          <w:rFonts w:ascii="Consolas" w:cs="Consolas" w:eastAsia="Consolas" w:hAnsi="Consolas"/>
          <w:color w:val="333333"/>
          <w:sz w:val="17"/>
          <w:szCs w:val="17"/>
        </w:rPr>
        <w:t xml:space="preserve">               │    │ Panen celah riset  │        │  claims    │   │             </w:t>
      </w:r>
    </w:p>
    <w:p>
      <w:pPr>
        <w:spacing w:after="40"/>
      </w:pPr>
      <w:r>
        <w:rPr>
          <w:rFonts w:ascii="Consolas" w:cs="Consolas" w:eastAsia="Consolas" w:hAnsi="Consolas"/>
          <w:color w:val="333333"/>
          <w:sz w:val="17"/>
          <w:szCs w:val="17"/>
        </w:rPr>
        <w:t xml:space="preserve">  Kurasi       │    └────────────────────┘        └────────────┘   │             </w:t>
      </w:r>
    </w:p>
    <w:p>
      <w:pPr>
        <w:spacing w:after="40"/>
      </w:pPr>
      <w:r>
        <w:rPr>
          <w:rFonts w:ascii="Consolas" w:cs="Consolas" w:eastAsia="Consolas" w:hAnsi="Consolas"/>
          <w:color w:val="333333"/>
          <w:sz w:val="17"/>
          <w:szCs w:val="17"/>
        </w:rPr>
        <w:t xml:space="preserve">  peraturan ───┘                                  ┌────────────┐   │             </w:t>
      </w:r>
    </w:p>
    <w:p>
      <w:pPr>
        <w:spacing w:after="40"/>
      </w:pPr>
      <w:r>
        <w:rPr>
          <w:rFonts w:ascii="Consolas" w:cs="Consolas" w:eastAsia="Consolas" w:hAnsi="Consolas"/>
          <w:color w:val="333333"/>
          <w:sz w:val="17"/>
          <w:szCs w:val="17"/>
        </w:rPr>
        <w:t xml:space="preserve">  (JDIH)                                          │  Storage   │   │             </w:t>
      </w:r>
    </w:p>
    <w:p>
      <w:pPr>
        <w:spacing w:after="40"/>
      </w:pPr>
      <w:r>
        <w:rPr>
          <w:rFonts w:ascii="Consolas" w:cs="Consolas" w:eastAsia="Consolas" w:hAnsi="Consolas"/>
          <w:color w:val="333333"/>
          <w:sz w:val="17"/>
          <w:szCs w:val="17"/>
        </w:rPr>
        <w:t xml:space="preserve">                                                  │  berkas PDF│   │             </w:t>
      </w:r>
    </w:p>
    <w:p>
      <w:pPr>
        <w:spacing w:after="40"/>
      </w:pPr>
      <w:r>
        <w:rPr>
          <w:rFonts w:ascii="Consolas" w:cs="Consolas" w:eastAsia="Consolas" w:hAnsi="Consolas"/>
          <w:color w:val="333333"/>
          <w:sz w:val="17"/>
          <w:szCs w:val="17"/>
        </w:rPr>
        <w:t xml:space="preserve">                                                  └────────────┘   │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Pertanyaan ─────► Pencarian hibrida ─────────────────────────────┘             </w:t>
      </w:r>
    </w:p>
    <w:p>
      <w:pPr>
        <w:spacing w:after="40"/>
      </w:pPr>
      <w:r>
        <w:rPr>
          <w:rFonts w:ascii="Consolas" w:cs="Consolas" w:eastAsia="Consolas" w:hAnsi="Consolas"/>
          <w:color w:val="333333"/>
          <w:sz w:val="17"/>
          <w:szCs w:val="17"/>
        </w:rPr>
        <w:t xml:space="preserve">  pengguna          (vektor + teks + peraturan)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                                                  </w:t>
      </w:r>
    </w:p>
    <w:p>
      <w:pPr>
        <w:spacing w:after="40"/>
      </w:pPr>
      <w:r>
        <w:rPr>
          <w:rFonts w:ascii="Consolas" w:cs="Consolas" w:eastAsia="Consolas" w:hAnsi="Consolas"/>
          <w:color w:val="333333"/>
          <w:sz w:val="17"/>
          <w:szCs w:val="17"/>
        </w:rPr>
        <w:t xml:space="preserve">                    Sintesis jawaban (LLM) ──► Penjaga Sitasi ──► Jawaban        </w:t>
      </w:r>
    </w:p>
    <w:p>
      <w:pPr>
        <w:spacing w:after="40"/>
      </w:pPr>
      <w:r>
        <w:rPr>
          <w:rFonts w:ascii="Consolas" w:cs="Consolas" w:eastAsia="Consolas" w:hAnsi="Consolas"/>
          <w:color w:val="333333"/>
          <w:sz w:val="17"/>
          <w:szCs w:val="17"/>
        </w:rPr>
        <w:t xml:space="preserve">                                                                   bersumber      </w:t>
      </w:r>
    </w:p>
    <w:p>
      <w:pPr>
        <w:spacing w:after="200"/>
      </w:pPr>
    </w:p>
    <w:p>
      <w:pPr>
        <w:pStyle w:val="Heading2"/>
        <w:spacing w:after="140" w:before="280"/>
      </w:pPr>
      <w:r>
        <w:rPr>
          <w:rFonts w:ascii="Calibri" w:cs="Calibri" w:eastAsia="Calibri" w:hAnsi="Calibri"/>
          <w:b/>
          <w:bCs/>
          <w:color w:val="1F4E79"/>
          <w:sz w:val="25"/>
          <w:szCs w:val="25"/>
        </w:rPr>
        <w:t xml:space="preserve">5.2 Empat Lapis Korpus Pengetahuan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49"/>
        <w:gridCol w:w="2808"/>
        <w:gridCol w:w="3931"/>
        <w:gridCol w:w="1872"/>
      </w:tblGrid>
      <w:tr>
        <w:trPr>
          <w:tblHeader/>
        </w:trPr>
        <w:tc>
          <w:tcPr>
            <w:tcW w:type="dxa" w:w="74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Lapis</w:t>
            </w:r>
          </w:p>
        </w:tc>
        <w:tc>
          <w:tcPr>
            <w:tcW w:type="dxa" w:w="2808"/>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Sumber</w:t>
            </w:r>
          </w:p>
        </w:tc>
        <w:tc>
          <w:tcPr>
            <w:tcW w:type="dxa" w:w="3931"/>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Cara Perolehan</w:t>
            </w:r>
          </w:p>
        </w:tc>
        <w:tc>
          <w:tcPr>
            <w:tcW w:type="dxa" w:w="1872"/>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Status</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w:t>
            </w:r>
          </w:p>
        </w:tc>
        <w:tc>
          <w:tcPr>
            <w:tcW w:type="dxa" w:w="280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Naskah Jurnal Permukiman</w:t>
            </w:r>
          </w:p>
        </w:tc>
        <w:tc>
          <w:tcPr>
            <w:tcW w:type="dxa" w:w="3931"/>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Penarikan otomatis dari arsip resmi jurnal dan unggahan manual</w:t>
            </w:r>
          </w:p>
        </w:tc>
        <w:tc>
          <w:tcPr>
            <w:tcW w:type="dxa" w:w="187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Tersedia</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2</w:t>
            </w:r>
          </w:p>
        </w:tc>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Peraturan dan NSPK bidang PU</w:t>
            </w:r>
          </w:p>
        </w:tc>
        <w:tc>
          <w:tcPr>
            <w:tcW w:type="dxa" w:w="3931"/>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Pemungutan rujukan dari naskah; teks asli menyusul</w:t>
            </w:r>
          </w:p>
        </w:tc>
        <w:tc>
          <w:tcPr>
            <w:tcW w:type="dxa" w:w="187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Sebagian</w:t>
            </w:r>
          </w:p>
        </w:tc>
      </w:tr>
      <w:tr>
        <w:tc>
          <w:tcPr>
            <w:tcW w:type="dxa" w:w="74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3</w:t>
            </w:r>
          </w:p>
        </w:tc>
        <w:tc>
          <w:tcPr>
            <w:tcW w:type="dxa" w:w="280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Literatur ilmiah di luar jurnal</w:t>
            </w:r>
          </w:p>
        </w:tc>
        <w:tc>
          <w:tcPr>
            <w:tcW w:type="dxa" w:w="3931"/>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Metadata dan abstrak dari pangkalan indeks nasional</w:t>
            </w:r>
          </w:p>
        </w:tc>
        <w:tc>
          <w:tcPr>
            <w:tcW w:type="dxa" w:w="187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Rencana</w:t>
            </w:r>
          </w:p>
        </w:tc>
      </w:tr>
      <w:tr>
        <w:tc>
          <w:tcPr>
            <w:tcW w:type="dxa" w:w="74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4</w:t>
            </w:r>
          </w:p>
        </w:tc>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Dokumen internal unit kerja</w:t>
            </w:r>
          </w:p>
        </w:tc>
        <w:tc>
          <w:tcPr>
            <w:tcW w:type="dxa" w:w="3931"/>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Unggahan terkendali oleh unit kerja</w:t>
            </w:r>
          </w:p>
        </w:tc>
        <w:tc>
          <w:tcPr>
            <w:tcW w:type="dxa" w:w="187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Rencana</w:t>
            </w:r>
          </w:p>
        </w:tc>
      </w:tr>
    </w:tbl>
    <w:p>
      <w:pPr>
        <w:spacing w:after="120"/>
      </w:pPr>
    </w:p>
    <w:p>
      <w:pPr>
        <w:spacing w:after="120" w:line="276"/>
      </w:pPr>
      <w:r>
        <w:rPr>
          <w:rFonts w:ascii="Calibri" w:cs="Calibri" w:eastAsia="Calibri" w:hAnsi="Calibri"/>
          <w:i/>
          <w:iCs/>
          <w:sz w:val="22"/>
          <w:szCs w:val="22"/>
        </w:rPr>
        <w:t xml:space="preserve">Lapis 2 berstatus sebagian: sistem sudah mengetahui peraturan apa saja yang dirujuk korpus beserta judul dan pasalnya, tetapi belum memuat teks asli peraturannya.</w:t>
      </w:r>
    </w:p>
    <w:p>
      <w:pPr>
        <w:spacing w:after="120"/>
      </w:pPr>
    </w:p>
    <w:p>
      <w:pPr>
        <w:pStyle w:val="Heading2"/>
        <w:spacing w:after="140" w:before="280"/>
      </w:pPr>
      <w:r>
        <w:rPr>
          <w:rFonts w:ascii="Calibri" w:cs="Calibri" w:eastAsia="Calibri" w:hAnsi="Calibri"/>
          <w:b/>
          <w:bCs/>
          <w:color w:val="1F4E79"/>
          <w:sz w:val="25"/>
          <w:szCs w:val="25"/>
        </w:rPr>
        <w:t xml:space="preserve">5.3 Sumber Data Eksternal</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808"/>
        <w:gridCol w:w="2434"/>
        <w:gridCol w:w="4118"/>
      </w:tblGrid>
      <w:tr>
        <w:trPr>
          <w:tblHeader/>
        </w:trPr>
        <w:tc>
          <w:tcPr>
            <w:tcW w:type="dxa" w:w="2808"/>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Sumber</w:t>
            </w:r>
          </w:p>
        </w:tc>
        <w:tc>
          <w:tcPr>
            <w:tcW w:type="dxa" w:w="2434"/>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Jenis</w:t>
            </w:r>
          </w:p>
        </w:tc>
        <w:tc>
          <w:tcPr>
            <w:tcW w:type="dxa" w:w="4118"/>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Pemanfaatan</w:t>
            </w:r>
          </w:p>
        </w:tc>
      </w:tr>
      <w:tr>
        <w:tc>
          <w:tcPr>
            <w:tcW w:type="dxa" w:w="280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Arsip resmi Jurnal Permukiman</w:t>
            </w:r>
          </w:p>
        </w:tc>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Protokol pertukaran metadata terbuka</w:t>
            </w:r>
          </w:p>
        </w:tc>
        <w:tc>
          <w:tcPr>
            <w:tcW w:type="dxa" w:w="411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Penarikan naskah dan metadata terbitan baru</w:t>
            </w:r>
          </w:p>
        </w:tc>
      </w:tr>
      <w:tr>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Basis data peraturan JDIH</w:t>
            </w:r>
          </w:p>
        </w:tc>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Tautan rujukan terkurasi</w:t>
            </w:r>
          </w:p>
        </w:tc>
        <w:tc>
          <w:tcPr>
            <w:tcW w:type="dxa" w:w="411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Pengarahan pengguna ke naskah peraturan resmi</w:t>
            </w:r>
          </w:p>
        </w:tc>
      </w:tr>
      <w:tr>
        <w:tc>
          <w:tcPr>
            <w:tcW w:type="dxa" w:w="280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Layanan model bahasa</w:t>
            </w:r>
          </w:p>
        </w:tc>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Antarmuka pemrograman</w:t>
            </w:r>
          </w:p>
        </w:tc>
        <w:tc>
          <w:tcPr>
            <w:tcW w:type="dxa" w:w="411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Penyusunan kalimat jawaban dan pemilahan celah riset</w:t>
            </w:r>
          </w:p>
        </w:tc>
      </w:tr>
      <w:tr>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Model pengindeksan</w:t>
            </w:r>
          </w:p>
        </w:tc>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Berkas model terpasang di server</w:t>
            </w:r>
          </w:p>
        </w:tc>
        <w:tc>
          <w:tcPr>
            <w:tcW w:type="dxa" w:w="411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Pembentukan representasi numerik teks</w:t>
            </w:r>
          </w:p>
        </w:tc>
      </w:tr>
    </w:tbl>
    <w:p>
      <w:pPr>
        <w:spacing w:after="120"/>
      </w:pP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F2F7FC" w:val="clear"/>
            <w:tcMar>
              <w:top w:type="dxa" w:w="160"/>
              <w:left w:type="dxa" w:w="200"/>
              <w:bottom w:type="dxa" w:w="160"/>
              <w:right w:type="dxa" w:w="200"/>
            </w:tcMar>
          </w:tcPr>
          <w:p>
            <w:pPr>
              <w:spacing w:after="60" w:line="276"/>
            </w:pPr>
            <w:r>
              <w:rPr>
                <w:rFonts w:ascii="Calibri" w:cs="Calibri" w:eastAsia="Calibri" w:hAnsi="Calibri"/>
                <w:b/>
                <w:bCs/>
                <w:color w:val="1F4E79"/>
                <w:sz w:val="22"/>
                <w:szCs w:val="22"/>
              </w:rPr>
              <w:t xml:space="preserve">Kedaulatan data</w:t>
            </w:r>
          </w:p>
          <w:p>
            <w:pPr>
              <w:spacing w:after="60" w:line="276"/>
            </w:pPr>
            <w:r>
              <w:rPr>
                <w:rFonts w:ascii="Calibri" w:cs="Calibri" w:eastAsia="Calibri" w:hAnsi="Calibri"/>
                <w:sz w:val="22"/>
                <w:szCs w:val="22"/>
              </w:rPr>
              <w:t xml:space="preserve">Naskah, teks hasil ekstraksi, dan indeks pencarian berada sepenuhnya pada penyimpanan sistem. Pembentukan representasi numerik naskah dijalankan di server, tanpa mengirim isi naskah ke layanan luar.</w:t>
            </w:r>
          </w:p>
          <w:p>
            <w:pPr>
              <w:spacing w:after="60" w:line="276"/>
            </w:pPr>
            <w:r>
              <w:rPr>
                <w:rFonts w:ascii="Calibri" w:cs="Calibri" w:eastAsia="Calibri" w:hAnsi="Calibri"/>
                <w:sz w:val="22"/>
                <w:szCs w:val="22"/>
              </w:rPr>
              <w:t xml:space="preserve">Pengiriman ke layanan model bahasa hanya terjadi pada tahap penyusunan kalimat jawaban, berupa potongan naskah yang relevan dengan pertanyaan — bukan seluruh korpus.</w:t>
            </w:r>
          </w:p>
        </w:tc>
      </w:tr>
    </w:tbl>
    <w:p>
      <w:r>
        <w:br w:type="page"/>
      </w:r>
    </w:p>
    <w:p>
      <w:pPr>
        <w:pStyle w:val="Heading2"/>
        <w:spacing w:after="140" w:before="280"/>
      </w:pPr>
      <w:r>
        <w:rPr>
          <w:rFonts w:ascii="Calibri" w:cs="Calibri" w:eastAsia="Calibri" w:hAnsi="Calibri"/>
          <w:b/>
          <w:bCs/>
          <w:color w:val="1F4E79"/>
          <w:sz w:val="25"/>
          <w:szCs w:val="25"/>
        </w:rPr>
        <w:t xml:space="preserve">5.4 Data yang Tersimpan</w:t>
      </w:r>
    </w:p>
    <w:p>
      <w:pPr>
        <w:spacing w:after="120" w:line="276"/>
      </w:pPr>
      <w:r>
        <w:rPr>
          <w:rFonts w:ascii="Calibri" w:cs="Calibri" w:eastAsia="Calibri" w:hAnsi="Calibri"/>
          <w:sz w:val="22"/>
          <w:szCs w:val="22"/>
        </w:rPr>
        <w:t xml:space="preserve">Isi basis data sistem pada saat dokumen ini disusun: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34"/>
        <w:gridCol w:w="4493"/>
        <w:gridCol w:w="2433"/>
      </w:tblGrid>
      <w:tr>
        <w:trPr>
          <w:tblHeader/>
        </w:trPr>
        <w:tc>
          <w:tcPr>
            <w:tcW w:type="dxa" w:w="2434"/>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Kelompok Data</w:t>
            </w:r>
          </w:p>
        </w:tc>
        <w:tc>
          <w:tcPr>
            <w:tcW w:type="dxa" w:w="4493"/>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Isi</w:t>
            </w:r>
          </w:p>
        </w:tc>
        <w:tc>
          <w:tcPr>
            <w:tcW w:type="dxa" w:w="2433"/>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Jumlah</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Naskah</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Metadata dan teks hasil ekstraksi</w:t>
            </w:r>
          </w:p>
        </w:tc>
        <w:tc>
          <w:tcPr>
            <w:tcW w:type="dxa" w:w="243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210 naskah (terbitan 2008–2025)</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Potongan teks</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Naskah yang sudah dipecah untuk penelusuran</w:t>
            </w:r>
          </w:p>
        </w:tc>
        <w:tc>
          <w:tcPr>
            <w:tcW w:type="dxa" w:w="243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8.589 potongan</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Indeks numerik</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Representasi makna tiap potongan</w:t>
            </w:r>
          </w:p>
        </w:tc>
        <w:tc>
          <w:tcPr>
            <w:tcW w:type="dxa" w:w="243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8.589 entri</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Rujukan peraturan</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Penyebutan peraturan yang dipungut dari naskah</w:t>
            </w:r>
          </w:p>
        </w:tc>
        <w:tc>
          <w:tcPr>
            <w:tcW w:type="dxa" w:w="243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786 penyebutan</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Celah riset</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Pernyataan keterbatasan dan saran lanjutan</w:t>
            </w:r>
          </w:p>
        </w:tc>
        <w:tc>
          <w:tcPr>
            <w:tcW w:type="dxa" w:w="243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111 pernyataan</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Tautan peraturan resmi</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Tautan JDIH hasil kurasi</w:t>
            </w:r>
          </w:p>
        </w:tc>
        <w:tc>
          <w:tcPr>
            <w:tcW w:type="dxa" w:w="243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 tautan</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Riwayat percakapan</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Pertanyaan dan jawaban pengguna</w:t>
            </w:r>
          </w:p>
        </w:tc>
        <w:tc>
          <w:tcPr>
            <w:tcW w:type="dxa" w:w="243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43 percakapan</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Log audit</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Catatan aktivitas penting</w:t>
            </w:r>
          </w:p>
        </w:tc>
        <w:tc>
          <w:tcPr>
            <w:tcW w:type="dxa" w:w="243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109 catatan</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Riwayat sinkronisasi</w:t>
            </w:r>
          </w:p>
        </w:tc>
        <w:tc>
          <w:tcPr>
            <w:tcW w:type="dxa" w:w="449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Catatan penarikan terbitan baru</w:t>
            </w:r>
          </w:p>
        </w:tc>
        <w:tc>
          <w:tcPr>
            <w:tcW w:type="dxa" w:w="2433"/>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7 pelaksanaan</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Pengguna</w:t>
            </w:r>
          </w:p>
        </w:tc>
        <w:tc>
          <w:tcPr>
            <w:tcW w:type="dxa" w:w="449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Akun beserta peran dan unit kerja</w:t>
            </w:r>
          </w:p>
        </w:tc>
        <w:tc>
          <w:tcPr>
            <w:tcW w:type="dxa" w:w="2433"/>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3 akun</w:t>
            </w:r>
          </w:p>
        </w:tc>
      </w:tr>
    </w:tbl>
    <w:p>
      <w:pPr>
        <w:spacing w:after="120"/>
      </w:pPr>
    </w:p>
    <w:p>
      <w:pPr>
        <w:pStyle w:val="Heading2"/>
        <w:spacing w:after="140" w:before="280"/>
      </w:pPr>
      <w:r>
        <w:rPr>
          <w:rFonts w:ascii="Calibri" w:cs="Calibri" w:eastAsia="Calibri" w:hAnsi="Calibri"/>
          <w:b/>
          <w:bCs/>
          <w:color w:val="1F4E79"/>
          <w:sz w:val="25"/>
          <w:szCs w:val="25"/>
        </w:rPr>
        <w:t xml:space="preserve">5.5 Penyimpanan dan Infrastruktur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059"/>
        <w:gridCol w:w="3744"/>
        <w:gridCol w:w="3557"/>
      </w:tblGrid>
      <w:tr>
        <w:trPr>
          <w:tblHeader/>
        </w:trPr>
        <w:tc>
          <w:tcPr>
            <w:tcW w:type="dxa" w:w="2059"/>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Komponen</w:t>
            </w:r>
          </w:p>
        </w:tc>
        <w:tc>
          <w:tcPr>
            <w:tcW w:type="dxa" w:w="3744"/>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Penerapan</w:t>
            </w:r>
          </w:p>
        </w:tc>
        <w:tc>
          <w:tcPr>
            <w:tcW w:type="dxa" w:w="3557"/>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Keterangan</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Basis data</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Layanan basis data terkelola dengan dukungan pencarian vektor</w:t>
            </w:r>
          </w:p>
        </w:tc>
        <w:tc>
          <w:tcPr>
            <w:tcW w:type="dxa" w:w="355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Menyimpan seluruh data selain berkas naskah</w:t>
            </w:r>
          </w:p>
        </w:tc>
      </w:tr>
      <w:tr>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Penyimpanan berkas</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Penyimpanan objek pada layanan yang sama</w:t>
            </w:r>
          </w:p>
        </w:tc>
        <w:tc>
          <w:tcPr>
            <w:tcW w:type="dxa" w:w="355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Menyimpan berkas PDF naskah</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Aplikasi</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Aplikasi web yang dijalankan pada platform hosting</w:t>
            </w:r>
          </w:p>
        </w:tc>
        <w:tc>
          <w:tcPr>
            <w:tcW w:type="dxa" w:w="3557"/>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Antarmuka pengguna dan antarmuka layanan</w:t>
            </w:r>
          </w:p>
        </w:tc>
      </w:tr>
      <w:tr>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Pencarian</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Gabungan pencarian vektor dan pencarian teks penuh</w:t>
            </w:r>
          </w:p>
        </w:tc>
        <w:tc>
          <w:tcPr>
            <w:tcW w:type="dxa" w:w="3557"/>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Dua sinyal yang saling melengkapi</w:t>
            </w:r>
          </w:p>
        </w:tc>
      </w:tr>
    </w:tbl>
    <w:p>
      <w:pPr>
        <w:spacing w:after="120"/>
      </w:pPr>
    </w:p>
    <w:p>
      <w:pPr>
        <w:pStyle w:val="Heading2"/>
        <w:spacing w:after="140" w:before="280"/>
      </w:pPr>
      <w:r>
        <w:rPr>
          <w:rFonts w:ascii="Calibri" w:cs="Calibri" w:eastAsia="Calibri" w:hAnsi="Calibri"/>
          <w:b/>
          <w:bCs/>
          <w:color w:val="1F4E79"/>
          <w:sz w:val="25"/>
          <w:szCs w:val="25"/>
        </w:rPr>
        <w:t xml:space="preserve">5.6 Pengamanan dan Retensi</w:t>
      </w:r>
    </w:p>
    <w:p>
      <w:pPr>
        <w:pStyle w:val="ListParagraph"/>
        <w:numPr>
          <w:ilvl w:val="0"/>
          <w:numId w:val="2"/>
        </w:numPr>
        <w:spacing w:after="80" w:line="276"/>
      </w:pPr>
      <w:r>
        <w:rPr>
          <w:rFonts w:ascii="Calibri" w:cs="Calibri" w:eastAsia="Calibri" w:hAnsi="Calibri"/>
          <w:sz w:val="22"/>
          <w:szCs w:val="22"/>
        </w:rPr>
        <w:t xml:space="preserve">Akses ke seluruh data hanya melalui aplikasi yang telah memeriksa sesi dan peran pengguna.</w:t>
      </w:r>
    </w:p>
    <w:p>
      <w:pPr>
        <w:pStyle w:val="ListParagraph"/>
        <w:numPr>
          <w:ilvl w:val="0"/>
          <w:numId w:val="2"/>
        </w:numPr>
        <w:spacing w:after="80" w:line="276"/>
      </w:pPr>
      <w:r>
        <w:rPr>
          <w:rFonts w:ascii="Calibri" w:cs="Calibri" w:eastAsia="Calibri" w:hAnsi="Calibri"/>
          <w:sz w:val="22"/>
          <w:szCs w:val="22"/>
        </w:rPr>
        <w:t xml:space="preserve">Kredensial layanan disimpan sebagai variabel lingkungan, tidak tertulis di dalam kode.</w:t>
      </w:r>
    </w:p>
    <w:p>
      <w:pPr>
        <w:pStyle w:val="ListParagraph"/>
        <w:numPr>
          <w:ilvl w:val="0"/>
          <w:numId w:val="2"/>
        </w:numPr>
        <w:spacing w:after="80" w:line="276"/>
      </w:pPr>
      <w:r>
        <w:rPr>
          <w:rFonts w:ascii="Calibri" w:cs="Calibri" w:eastAsia="Calibri" w:hAnsi="Calibri"/>
          <w:sz w:val="22"/>
          <w:szCs w:val="22"/>
        </w:rPr>
        <w:t xml:space="preserve">Riwayat percakapan dan log audit disimpan untuk keperluan peninjauan dan perbaikan mutu.</w:t>
      </w:r>
    </w:p>
    <w:p>
      <w:pPr>
        <w:pStyle w:val="ListParagraph"/>
        <w:numPr>
          <w:ilvl w:val="0"/>
          <w:numId w:val="2"/>
        </w:numPr>
        <w:spacing w:after="80" w:line="276"/>
      </w:pPr>
      <w:r>
        <w:rPr>
          <w:rFonts w:ascii="Calibri" w:cs="Calibri" w:eastAsia="Calibri" w:hAnsi="Calibri"/>
          <w:sz w:val="22"/>
          <w:szCs w:val="22"/>
        </w:rPr>
        <w:t xml:space="preserve">Naskah yang dihapus turut menghapus seluruh potongan, indeks, dan rujukan turunannya.</w:t>
      </w:r>
    </w:p>
    <w:p>
      <w:pPr>
        <w:spacing w:after="120"/>
      </w:pPr>
    </w:p>
    <w:tbl>
      <w:tblPr>
        <w:tblW w:type="dxa" w:w="9360"/>
        <w:tblBorders>
          <w:top w:val="single" w:color="A63A3A" w:sz="6"/>
          <w:left w:val="single" w:color="A63A3A" w:sz="18"/>
          <w:bottom w:val="single" w:color="A63A3A" w:sz="6"/>
          <w:right w:val="single" w:color="A63A3A" w:sz="6"/>
          <w:insideH w:val="none"/>
          <w:insideV w:val="none"/>
        </w:tblBorders>
      </w:tblPr>
      <w:tblGrid>
        <w:gridCol w:w="9360"/>
      </w:tblGrid>
      <w:tr>
        <w:tc>
          <w:tcPr>
            <w:tcW w:type="dxa" w:w="9360"/>
            <w:shd w:fill="FCF4F4" w:val="clear"/>
            <w:tcMar>
              <w:top w:type="dxa" w:w="160"/>
              <w:left w:type="dxa" w:w="200"/>
              <w:bottom w:type="dxa" w:w="160"/>
              <w:right w:type="dxa" w:w="200"/>
            </w:tcMar>
          </w:tcPr>
          <w:p>
            <w:pPr>
              <w:spacing w:after="60" w:line="276"/>
            </w:pPr>
            <w:r>
              <w:rPr>
                <w:rFonts w:ascii="Calibri" w:cs="Calibri" w:eastAsia="Calibri" w:hAnsi="Calibri"/>
                <w:b/>
                <w:bCs/>
                <w:color w:val="A63A3A"/>
                <w:sz w:val="22"/>
                <w:szCs w:val="22"/>
              </w:rPr>
              <w:t xml:space="preserve">Hal yang perlu ditetapkan</w:t>
            </w:r>
          </w:p>
          <w:p>
            <w:pPr>
              <w:spacing w:after="60" w:line="276"/>
            </w:pPr>
            <w:r>
              <w:rPr>
                <w:rFonts w:ascii="Calibri" w:cs="Calibri" w:eastAsia="Calibri" w:hAnsi="Calibri"/>
                <w:sz w:val="22"/>
                <w:szCs w:val="22"/>
              </w:rPr>
              <w:t xml:space="preserve">Kebijakan masa simpan riwayat percakapan dan log audit belum ditetapkan secara formal.</w:t>
            </w:r>
          </w:p>
          <w:p>
            <w:pPr>
              <w:spacing w:after="60" w:line="276"/>
            </w:pPr>
            <w:r>
              <w:rPr>
                <w:rFonts w:ascii="Calibri" w:cs="Calibri" w:eastAsia="Calibri" w:hAnsi="Calibri"/>
                <w:sz w:val="22"/>
                <w:szCs w:val="22"/>
              </w:rPr>
              <w:t xml:space="preserve">Kebijakan pencadangan dan pemulihan data perlu disepakati bersama pengelola TI.</w:t>
            </w:r>
          </w:p>
          <w:p>
            <w:pPr>
              <w:spacing w:after="60" w:line="276"/>
            </w:pPr>
            <w:r>
              <w:rPr>
                <w:rFonts w:ascii="Calibri" w:cs="Calibri" w:eastAsia="Calibri" w:hAnsi="Calibri"/>
                <w:sz w:val="22"/>
                <w:szCs w:val="22"/>
              </w:rPr>
              <w:t xml:space="preserve">Ketentuan lisensi dokumen SNI perlu diputuskan sebelum teks standar dimasukkan ke lapis 2.</w:t>
            </w:r>
          </w:p>
        </w:tc>
      </w:tr>
    </w:tbl>
    <w:p>
      <w:r>
        <w:br w:type="page"/>
      </w:r>
    </w:p>
    <w:p>
      <w:pPr>
        <w:pStyle w:val="Heading1"/>
        <w:spacing w:after="140" w:before="280"/>
      </w:pPr>
      <w:r>
        <w:rPr>
          <w:rFonts w:ascii="Calibri" w:cs="Calibri" w:eastAsia="Calibri" w:hAnsi="Calibri"/>
          <w:b/>
          <w:bCs/>
          <w:color w:val="1F4E79"/>
          <w:sz w:val="30"/>
          <w:szCs w:val="30"/>
        </w:rPr>
        <w:t xml:space="preserve">6. Standar Teknis dan Kriteria Penerimaan</w:t>
      </w:r>
    </w:p>
    <w:p>
      <w:pPr>
        <w:spacing w:after="120" w:line="276"/>
      </w:pPr>
      <w:r>
        <w:rPr>
          <w:rFonts w:ascii="Calibri" w:cs="Calibri" w:eastAsia="Calibri" w:hAnsi="Calibri"/>
          <w:sz w:val="22"/>
          <w:szCs w:val="22"/>
        </w:rPr>
        <w:t xml:space="preserve">Ketentuan pada bab ini berlaku untuk seluruh pekerjaan pengembangan lanjutan dan dapat dipakai sebagai kriteria penerimaan hasil pekerjaan.</w:t>
      </w:r>
    </w:p>
    <w:p>
      <w:pPr>
        <w:pStyle w:val="Heading2"/>
        <w:spacing w:after="140" w:before="280"/>
      </w:pPr>
      <w:r>
        <w:rPr>
          <w:rFonts w:ascii="Calibri" w:cs="Calibri" w:eastAsia="Calibri" w:hAnsi="Calibri"/>
          <w:b/>
          <w:bCs/>
          <w:color w:val="1F4E79"/>
          <w:sz w:val="25"/>
          <w:szCs w:val="25"/>
        </w:rPr>
        <w:t xml:space="preserve">6.1 Ketentuan Mutu Keluaran Sistem</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842"/>
        <w:gridCol w:w="4680"/>
        <w:gridCol w:w="3838"/>
      </w:tblGrid>
      <w:tr>
        <w:trPr>
          <w:tblHeader/>
        </w:trPr>
        <w:tc>
          <w:tcPr>
            <w:tcW w:type="dxa" w:w="842"/>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Kode</w:t>
            </w:r>
          </w:p>
        </w:tc>
        <w:tc>
          <w:tcPr>
            <w:tcW w:type="dxa" w:w="4680"/>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Ketentuan</w:t>
            </w:r>
          </w:p>
        </w:tc>
        <w:tc>
          <w:tcPr>
            <w:tcW w:type="dxa" w:w="3838"/>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Cara Pembuktian</w:t>
            </w:r>
          </w:p>
        </w:tc>
      </w:tr>
      <w:tr>
        <w:tc>
          <w:tcPr>
            <w:tcW w:type="dxa" w:w="84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ST-01</w:t>
            </w:r>
          </w:p>
        </w:tc>
        <w:tc>
          <w:tcPr>
            <w:tcW w:type="dxa" w:w="468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Setiap jawaban sistem wajib menyertakan sumber yang dapat dibuka pengguna</w:t>
            </w:r>
          </w:p>
        </w:tc>
        <w:tc>
          <w:tcPr>
            <w:tcW w:type="dxa" w:w="383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Pengujian dengan pertanyaan di dalam dan di luar cakupan korpus</w:t>
            </w:r>
          </w:p>
        </w:tc>
      </w:tr>
      <w:tr>
        <w:tc>
          <w:tcPr>
            <w:tcW w:type="dxa" w:w="84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ST-02</w:t>
            </w:r>
          </w:p>
        </w:tc>
        <w:tc>
          <w:tcPr>
            <w:tcW w:type="dxa" w:w="468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Jawaban tanpa sumber sah wajib ditolak sistem, bukan ditampilkan dengan peringatan</w:t>
            </w:r>
          </w:p>
        </w:tc>
        <w:tc>
          <w:tcPr>
            <w:tcW w:type="dxa" w:w="383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Pemeriksaan perilaku sistem pada pertanyaan di luar korpus</w:t>
            </w:r>
          </w:p>
        </w:tc>
      </w:tr>
      <w:tr>
        <w:tc>
          <w:tcPr>
            <w:tcW w:type="dxa" w:w="84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ST-03</w:t>
            </w:r>
          </w:p>
        </w:tc>
        <w:tc>
          <w:tcPr>
            <w:tcW w:type="dxa" w:w="468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Nomor sitasi yang tidak menunjuk sumber mana pun wajib digugurkan</w:t>
            </w:r>
          </w:p>
        </w:tc>
        <w:tc>
          <w:tcPr>
            <w:tcW w:type="dxa" w:w="383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Pengujian otomatis atas penjaga sitasi</w:t>
            </w:r>
          </w:p>
        </w:tc>
      </w:tr>
      <w:tr>
        <w:tc>
          <w:tcPr>
            <w:tcW w:type="dxa" w:w="84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ST-04</w:t>
            </w:r>
          </w:p>
        </w:tc>
        <w:tc>
          <w:tcPr>
            <w:tcW w:type="dxa" w:w="468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Kutipan yang ditampilkan wajib terbukti ada pada teks naskah aslinya</w:t>
            </w:r>
          </w:p>
        </w:tc>
        <w:tc>
          <w:tcPr>
            <w:tcW w:type="dxa" w:w="383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Pemeriksaan silang kutipan terhadap naskah</w:t>
            </w:r>
          </w:p>
        </w:tc>
      </w:tr>
      <w:tr>
        <w:tc>
          <w:tcPr>
            <w:tcW w:type="dxa" w:w="84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ST-05</w:t>
            </w:r>
          </w:p>
        </w:tc>
        <w:tc>
          <w:tcPr>
            <w:tcW w:type="dxa" w:w="4680"/>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Nomor peraturan wajib dipungut dengan pencocokan pola, tidak diserahkan pada model bahasa</w:t>
            </w:r>
          </w:p>
        </w:tc>
        <w:tc>
          <w:tcPr>
            <w:tcW w:type="dxa" w:w="383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Pemeriksaan rancangan dan pengujian otomatis</w:t>
            </w:r>
          </w:p>
        </w:tc>
      </w:tr>
      <w:tr>
        <w:tc>
          <w:tcPr>
            <w:tcW w:type="dxa" w:w="84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ST-06</w:t>
            </w:r>
          </w:p>
        </w:tc>
        <w:tc>
          <w:tcPr>
            <w:tcW w:type="dxa" w:w="4680"/>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Keluaran mengenai celah riset wajib mencantumkan batas cakupan korpusnya</w:t>
            </w:r>
          </w:p>
        </w:tc>
        <w:tc>
          <w:tcPr>
            <w:tcW w:type="dxa" w:w="383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Pemeriksaan tampilan antarmuka</w:t>
            </w:r>
          </w:p>
        </w:tc>
      </w:tr>
    </w:tbl>
    <w:p>
      <w:pPr>
        <w:spacing w:after="120"/>
      </w:pPr>
    </w:p>
    <w:p>
      <w:pPr>
        <w:pStyle w:val="Heading2"/>
        <w:spacing w:after="140" w:before="280"/>
      </w:pPr>
      <w:r>
        <w:rPr>
          <w:rFonts w:ascii="Calibri" w:cs="Calibri" w:eastAsia="Calibri" w:hAnsi="Calibri"/>
          <w:b/>
          <w:bCs/>
          <w:color w:val="1F4E79"/>
          <w:sz w:val="25"/>
          <w:szCs w:val="25"/>
        </w:rPr>
        <w:t xml:space="preserve">6.2 Ketentuan Pengelolaan Data</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842"/>
        <w:gridCol w:w="8518"/>
      </w:tblGrid>
      <w:tr>
        <w:trPr>
          <w:tblHeader/>
        </w:trPr>
        <w:tc>
          <w:tcPr>
            <w:tcW w:type="dxa" w:w="842"/>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Kode</w:t>
            </w:r>
          </w:p>
        </w:tc>
        <w:tc>
          <w:tcPr>
            <w:tcW w:type="dxa" w:w="8518"/>
            <w:shd w:fill="1F4E79"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Ketentuan</w:t>
            </w:r>
          </w:p>
        </w:tc>
      </w:tr>
      <w:tr>
        <w:tc>
          <w:tcPr>
            <w:tcW w:type="dxa" w:w="84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ST-07</w:t>
            </w:r>
          </w:p>
        </w:tc>
        <w:tc>
          <w:tcPr>
            <w:tcW w:type="dxa" w:w="851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Naskah, teks hasil ekstraksi, dan indeks pencarian disimpan pada penyimpanan milik sistem</w:t>
            </w:r>
          </w:p>
        </w:tc>
      </w:tr>
      <w:tr>
        <w:tc>
          <w:tcPr>
            <w:tcW w:type="dxa" w:w="84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ST-08</w:t>
            </w:r>
          </w:p>
        </w:tc>
        <w:tc>
          <w:tcPr>
            <w:tcW w:type="dxa" w:w="851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Pembentukan representasi numerik naskah dijalankan di server, tanpa mengirim isi naskah ke layanan luar</w:t>
            </w:r>
          </w:p>
        </w:tc>
      </w:tr>
      <w:tr>
        <w:tc>
          <w:tcPr>
            <w:tcW w:type="dxa" w:w="84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ST-09</w:t>
            </w:r>
          </w:p>
        </w:tc>
        <w:tc>
          <w:tcPr>
            <w:tcW w:type="dxa" w:w="851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Kredensial layanan disimpan sebagai variabel lingkungan, tidak tertulis di dalam kode sumber</w:t>
            </w:r>
          </w:p>
        </w:tc>
      </w:tr>
      <w:tr>
        <w:tc>
          <w:tcPr>
            <w:tcW w:type="dxa" w:w="84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ST-10</w:t>
            </w:r>
          </w:p>
        </w:tc>
        <w:tc>
          <w:tcPr>
            <w:tcW w:type="dxa" w:w="851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Penghapusan naskah wajib turut menghapus seluruh potongan, indeks, dan rujukan turunannya</w:t>
            </w:r>
          </w:p>
        </w:tc>
      </w:tr>
      <w:tr>
        <w:tc>
          <w:tcPr>
            <w:tcW w:type="dxa" w:w="842"/>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ST-11</w:t>
            </w:r>
          </w:p>
        </w:tc>
        <w:tc>
          <w:tcPr>
            <w:tcW w:type="dxa" w:w="8518"/>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Aktivitas penting wajib tercatat pada log audit beserta pelaku dan waktunya</w:t>
            </w:r>
          </w:p>
        </w:tc>
      </w:tr>
      <w:tr>
        <w:tc>
          <w:tcPr>
            <w:tcW w:type="dxa" w:w="842"/>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ST-12</w:t>
            </w:r>
          </w:p>
        </w:tc>
        <w:tc>
          <w:tcPr>
            <w:tcW w:type="dxa" w:w="8518"/>
            <w:shd w:fill="F7F9FC" w:val="clear"/>
            <w:tcMar>
              <w:top w:type="dxa" w:w="90"/>
              <w:left w:type="dxa" w:w="130"/>
              <w:bottom w:type="dxa" w:w="90"/>
              <w:right w:type="dxa" w:w="130"/>
            </w:tcMar>
          </w:tcPr>
          <w:p>
            <w:pPr>
              <w:spacing w:after="0" w:line="260"/>
            </w:pPr>
            <w:r>
              <w:rPr>
                <w:rFonts w:ascii="Calibri" w:cs="Calibri" w:eastAsia="Calibri" w:hAnsi="Calibri"/>
                <w:color w:val="000000"/>
                <w:sz w:val="19"/>
                <w:szCs w:val="19"/>
              </w:rPr>
              <w:t xml:space="preserve">Tautan ke sumber peraturan wajib divalidasi terhadap daftar tertutup situs resmi</w:t>
            </w:r>
          </w:p>
        </w:tc>
      </w:tr>
    </w:tbl>
    <w:p>
      <w:pPr>
        <w:spacing w:after="120"/>
      </w:pPr>
    </w:p>
    <w:p>
      <w:pPr>
        <w:pStyle w:val="Heading2"/>
        <w:spacing w:after="140" w:before="280"/>
      </w:pPr>
      <w:r>
        <w:rPr>
          <w:rFonts w:ascii="Calibri" w:cs="Calibri" w:eastAsia="Calibri" w:hAnsi="Calibri"/>
          <w:b/>
          <w:bCs/>
          <w:color w:val="1F4E79"/>
          <w:sz w:val="25"/>
          <w:szCs w:val="25"/>
        </w:rPr>
        <w:t xml:space="preserve">6.3 Ketentuan Pengujian</w:t>
      </w:r>
    </w:p>
    <w:p>
      <w:pPr>
        <w:pStyle w:val="ListParagraph"/>
        <w:numPr>
          <w:ilvl w:val="0"/>
          <w:numId w:val="2"/>
        </w:numPr>
        <w:spacing w:after="80" w:line="276"/>
      </w:pPr>
      <w:r>
        <w:rPr>
          <w:rFonts w:ascii="Calibri" w:cs="Calibri" w:eastAsia="Calibri" w:hAnsi="Calibri"/>
          <w:sz w:val="22"/>
          <w:szCs w:val="22"/>
        </w:rPr>
        <w:t xml:space="preserve">Setiap penambahan fungsi disertai pengujian otomatis yang dapat dijalankan ulang.</w:t>
      </w:r>
    </w:p>
    <w:p>
      <w:pPr>
        <w:pStyle w:val="ListParagraph"/>
        <w:numPr>
          <w:ilvl w:val="0"/>
          <w:numId w:val="2"/>
        </w:numPr>
        <w:spacing w:after="80" w:line="276"/>
      </w:pPr>
      <w:r>
        <w:rPr>
          <w:rFonts w:ascii="Calibri" w:cs="Calibri" w:eastAsia="Calibri" w:hAnsi="Calibri"/>
          <w:sz w:val="22"/>
          <w:szCs w:val="22"/>
        </w:rPr>
        <w:t xml:space="preserve">Pengujian mencakup ketepatan penelusuran, penolakan jawaban tanpa sumber, dan ketepatan pemungutan nomor peraturan.</w:t>
      </w:r>
    </w:p>
    <w:p>
      <w:pPr>
        <w:pStyle w:val="ListParagraph"/>
        <w:numPr>
          <w:ilvl w:val="0"/>
          <w:numId w:val="2"/>
        </w:numPr>
        <w:spacing w:after="80" w:line="276"/>
      </w:pPr>
      <w:r>
        <w:rPr>
          <w:rFonts w:ascii="Calibri" w:cs="Calibri" w:eastAsia="Calibri" w:hAnsi="Calibri"/>
          <w:sz w:val="22"/>
          <w:szCs w:val="22"/>
        </w:rPr>
        <w:t xml:space="preserve">Perubahan yang menurunkan hasil pengujian tidak boleh diterima sebagai hasil pekerjaan.</w:t>
      </w:r>
    </w:p>
    <w:p>
      <w:pPr>
        <w:spacing w:after="120"/>
      </w:pPr>
    </w:p>
    <w:p>
      <w:pPr>
        <w:spacing w:after="120" w:line="276"/>
      </w:pPr>
      <w:r>
        <w:rPr>
          <w:rFonts w:ascii="Calibri" w:cs="Calibri" w:eastAsia="Calibri" w:hAnsi="Calibri"/>
          <w:i/>
          <w:iCs/>
          <w:sz w:val="22"/>
          <w:szCs w:val="22"/>
        </w:rPr>
        <w:t xml:space="preserve">Sistem yang berjalan saat ini telah memiliki perangkat pengujian otomatis yang dapat dijadikan dasar perluasan.</w:t>
      </w:r>
    </w:p>
    <w:p>
      <w:r>
        <w:br w:type="page"/>
      </w:r>
    </w:p>
    <w:p>
      <w:pPr>
        <w:pStyle w:val="Heading1"/>
        <w:spacing w:after="140" w:before="280"/>
      </w:pPr>
      <w:r>
        <w:rPr>
          <w:rFonts w:ascii="Calibri" w:cs="Calibri" w:eastAsia="Calibri" w:hAnsi="Calibri"/>
          <w:b/>
          <w:bCs/>
          <w:color w:val="1F4E79"/>
          <w:sz w:val="30"/>
          <w:szCs w:val="30"/>
        </w:rPr>
        <w:t xml:space="preserve">7. Penutup</w:t>
      </w:r>
    </w:p>
    <w:p>
      <w:pPr>
        <w:spacing w:after="120" w:line="276"/>
      </w:pPr>
      <w:r>
        <w:rPr>
          <w:rFonts w:ascii="Calibri" w:cs="Calibri" w:eastAsia="Calibri" w:hAnsi="Calibri"/>
          <w:sz w:val="22"/>
          <w:szCs w:val="22"/>
        </w:rPr>
        <w:t xml:space="preserve">Proses bisnis JP-Insight disusun mengelilingi satu prinsip: seluruh keluaran sistem harus dapat ditelusuri sampai ke naskah sumbernya. Prinsip tersebut tidak berhenti sebagai kebijakan, melainkan diwujudkan sebagai kendali mutu pada setiap proses, dan dituangkan menjadi ketentuan terukur pada Bab 6.</w:t>
      </w:r>
    </w:p>
    <w:p>
      <w:pPr>
        <w:spacing w:after="120"/>
      </w:pPr>
    </w:p>
    <w:p>
      <w:pPr>
        <w:spacing w:after="120" w:line="276"/>
      </w:pPr>
      <w:r>
        <w:rPr>
          <w:rFonts w:ascii="Calibri" w:cs="Calibri" w:eastAsia="Calibri" w:hAnsi="Calibri"/>
          <w:b/>
          <w:bCs/>
          <w:sz w:val="22"/>
          <w:szCs w:val="22"/>
        </w:rPr>
        <w:t xml:space="preserve">Hal yang perlu ditetapkan pemberi kerja sebelum KAK difinalkan:</w:t>
      </w:r>
    </w:p>
    <w:p>
      <w:pPr>
        <w:pStyle w:val="ListParagraph"/>
        <w:numPr>
          <w:ilvl w:val="0"/>
          <w:numId w:val="3"/>
        </w:numPr>
        <w:spacing w:after="80" w:line="276"/>
      </w:pPr>
      <w:r>
        <w:rPr>
          <w:rFonts w:ascii="Calibri" w:cs="Calibri" w:eastAsia="Calibri" w:hAnsi="Calibri"/>
          <w:sz w:val="22"/>
          <w:szCs w:val="22"/>
        </w:rPr>
        <w:t xml:space="preserve">Penerapan Single Sign On, beserta kesediaan pengelola identitas kementerian menyediakan prasyaratnya (Bab 3.5).</w:t>
      </w:r>
    </w:p>
    <w:p>
      <w:pPr>
        <w:pStyle w:val="ListParagraph"/>
        <w:numPr>
          <w:ilvl w:val="0"/>
          <w:numId w:val="3"/>
        </w:numPr>
        <w:spacing w:after="80" w:line="276"/>
      </w:pPr>
      <w:r>
        <w:rPr>
          <w:rFonts w:ascii="Calibri" w:cs="Calibri" w:eastAsia="Calibri" w:hAnsi="Calibri"/>
          <w:sz w:val="22"/>
          <w:szCs w:val="22"/>
        </w:rPr>
        <w:t xml:space="preserve">Penetapan pejabat atau petugas yang menjalankan peran Kurator Peraturan.</w:t>
      </w:r>
    </w:p>
    <w:p>
      <w:pPr>
        <w:pStyle w:val="ListParagraph"/>
        <w:numPr>
          <w:ilvl w:val="0"/>
          <w:numId w:val="3"/>
        </w:numPr>
        <w:spacing w:after="80" w:line="276"/>
      </w:pPr>
      <w:r>
        <w:rPr>
          <w:rFonts w:ascii="Calibri" w:cs="Calibri" w:eastAsia="Calibri" w:hAnsi="Calibri"/>
          <w:sz w:val="22"/>
          <w:szCs w:val="22"/>
        </w:rPr>
        <w:t xml:space="preserve">Kebijakan penyediaan teks peraturan untuk lapis 2, termasuk penanganan lisensi dokumen SNI.</w:t>
      </w:r>
    </w:p>
    <w:p>
      <w:pPr>
        <w:pStyle w:val="ListParagraph"/>
        <w:numPr>
          <w:ilvl w:val="0"/>
          <w:numId w:val="3"/>
        </w:numPr>
        <w:spacing w:after="80" w:line="276"/>
      </w:pPr>
      <w:r>
        <w:rPr>
          <w:rFonts w:ascii="Calibri" w:cs="Calibri" w:eastAsia="Calibri" w:hAnsi="Calibri"/>
          <w:sz w:val="22"/>
          <w:szCs w:val="22"/>
        </w:rPr>
        <w:t xml:space="preserve">Kebijakan masa simpan dan pencadangan data.</w:t>
      </w:r>
    </w:p>
    <w:p>
      <w:pPr>
        <w:pStyle w:val="ListParagraph"/>
        <w:numPr>
          <w:ilvl w:val="0"/>
          <w:numId w:val="3"/>
        </w:numPr>
        <w:spacing w:after="80" w:line="276"/>
      </w:pPr>
      <w:r>
        <w:rPr>
          <w:rFonts w:ascii="Calibri" w:cs="Calibri" w:eastAsia="Calibri" w:hAnsi="Calibri"/>
          <w:sz w:val="22"/>
          <w:szCs w:val="22"/>
        </w:rPr>
        <w:t xml:space="preserve">Kebijakan pemanfaatan sistem oleh unit kerja di luar pengelola jurnal.</w:t>
      </w:r>
    </w:p>
    <w:p>
      <w:pPr>
        <w:spacing w:after="400"/>
      </w:pPr>
    </w:p>
    <w:p>
      <w:pPr>
        <w:spacing w:after="120" w:line="276"/>
      </w:pPr>
      <w:r>
        <w:rPr>
          <w:rFonts w:ascii="Calibri" w:cs="Calibri" w:eastAsia="Calibri" w:hAnsi="Calibri"/>
          <w:i/>
          <w:iCs/>
          <w:color w:val="595959"/>
          <w:sz w:val="20"/>
          <w:szCs w:val="20"/>
        </w:rPr>
        <w:t xml:space="preserve">Dokumen ini disusun berdasarkan kondisi sistem yang sedang berjalan. Seluruh angka pada Bab 5.4 merupakan hasil pengukuran langsung terhadap basis data sistem pada tanggal penyusunan.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595959"/>
        <w:sz w:val="16"/>
        <w:szCs w:val="16"/>
      </w:rPr>
      <w:t xml:space="preserve">JP-Insight — Proses Bisnis Sistem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Proses Bisnis Sistem JP-Insight</dc:title>
  <dc:creator>JP-Insight</dc:creator>
  <dc:description>Proses bisnis, Single Sign On, fitur, dan sumber data</dc:description>
  <cp:lastModifiedBy>Un-named</cp:lastModifiedBy>
  <cp:revision>1</cp:revision>
  <dcterms:created xsi:type="dcterms:W3CDTF">2026-09-14T07:40:18.903Z</dcterms:created>
  <dcterms:modified xsi:type="dcterms:W3CDTF">2026-09-14T07:40:18.910Z</dcterms:modified>
</cp:coreProperties>
</file>

<file path=docProps/custom.xml><?xml version="1.0" encoding="utf-8"?>
<Properties xmlns="http://schemas.openxmlformats.org/officeDocument/2006/custom-properties" xmlns:vt="http://schemas.openxmlformats.org/officeDocument/2006/docPropsVTypes"/>
</file>