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line="276"/>
        <w:jc w:val="center"/>
      </w:pPr>
      <w:r>
        <w:rPr>
          <w:rFonts w:ascii="Calibri" w:cs="Calibri" w:eastAsia="Calibri" w:hAnsi="Calibri"/>
          <w:b/>
          <w:bCs/>
          <w:color w:val="595959"/>
          <w:sz w:val="24"/>
          <w:szCs w:val="24"/>
        </w:rPr>
        <w:t xml:space="preserve">DOKUMEN PENGEMBANGAN SISTEM</w:t>
      </w:r>
    </w:p>
    <w:p>
      <w:pPr>
        <w:spacing w:after="500" w:line="276"/>
        <w:jc w:val="center"/>
      </w:pPr>
      <w:r>
        <w:rPr>
          <w:rFonts w:ascii="Calibri" w:cs="Calibri" w:eastAsia="Calibri" w:hAnsi="Calibri"/>
          <w:color w:val="595959"/>
          <w:sz w:val="22"/>
          <w:szCs w:val="22"/>
        </w:rPr>
        <w:t xml:space="preserve">Software Development Life Cycle (SDLC)</w:t>
      </w:r>
    </w:p>
    <w:p>
      <w:pPr>
        <w:spacing w:after="160"/>
        <w:jc w:val="center"/>
      </w:pPr>
      <w:r>
        <w:rPr>
          <w:rFonts w:ascii="Calibri" w:cs="Calibri" w:eastAsia="Calibri" w:hAnsi="Calibri"/>
          <w:b/>
          <w:bCs/>
          <w:color w:val="1F4E79"/>
          <w:sz w:val="56"/>
          <w:szCs w:val="56"/>
        </w:rPr>
        <w:t xml:space="preserve">JP-INSIGHT</w:t>
      </w:r>
    </w:p>
    <w:p>
      <w:pPr>
        <w:spacing w:after="60" w:line="276"/>
        <w:jc w:val="center"/>
      </w:pPr>
      <w:r>
        <w:rPr>
          <w:rFonts w:ascii="Calibri" w:cs="Calibri" w:eastAsia="Calibri" w:hAnsi="Calibri"/>
          <w:b/>
          <w:bCs/>
          <w:sz w:val="26"/>
          <w:szCs w:val="26"/>
        </w:rPr>
        <w:t xml:space="preserve">Sistem Referensi dan Pendukung Keputusan Berbasis Pengetahuan</w:t>
      </w:r>
    </w:p>
    <w:p>
      <w:pPr>
        <w:spacing w:after="700" w:line="276"/>
        <w:jc w:val="center"/>
      </w:pPr>
      <w:r>
        <w:rPr>
          <w:rFonts w:ascii="Calibri" w:cs="Calibri" w:eastAsia="Calibri" w:hAnsi="Calibri"/>
          <w:color w:val="595959"/>
          <w:sz w:val="24"/>
          <w:szCs w:val="24"/>
        </w:rPr>
        <w:t xml:space="preserve">Jurnal Permukiman — Bidang Pekerjaan Umum</w:t>
      </w:r>
    </w:p>
    <w:p>
      <w:pPr>
        <w:pBdr>
          <w:bottom w:val="single" w:color="1F4E79" w:sz="12" w:space="6"/>
        </w:pBdr>
        <w:spacing w:after="240"/>
        <w:jc w:val="center"/>
      </w:pPr>
    </w:p>
    <w:p>
      <w:pPr>
        <w:spacing w:after="600" w:line="276"/>
        <w:jc w:val="center"/>
      </w:pPr>
      <w:r>
        <w:rPr>
          <w:rFonts w:ascii="Calibri" w:cs="Calibri" w:eastAsia="Calibri" w:hAnsi="Calibri"/>
          <w:i/>
          <w:iCs/>
          <w:color w:val="595959"/>
          <w:sz w:val="22"/>
          <w:szCs w:val="22"/>
        </w:rPr>
        <w:t xml:space="preserve">Roadmap Pengembangan, Arsitektur Sistem, dan Rencana Implementasi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808"/>
        <w:gridCol w:w="6552"/>
      </w:tblGrid>
      <w:tr>
        <w:trPr>
          <w:tblHeader/>
        </w:trPr>
        <w:tc>
          <w:tcPr>
            <w:tcW w:type="dxa" w:w="2808"/>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Perihal</w:t>
            </w:r>
          </w:p>
        </w:tc>
        <w:tc>
          <w:tcPr>
            <w:tcW w:type="dxa" w:w="6552"/>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Keterangan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Nama Sistem</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JP-Insight — Knowledge System Jurnal Permukiman</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Lingkup Keilmuan</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Empat area Focus &amp; Scope Jurnal Permukiman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Pengguna Utama</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Peneliti dan penulis naskah bidang ke-PU-an</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Status Dokumen</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Draf untuk pembahasan pimpinan</w:t>
            </w:r>
          </w:p>
        </w:tc>
      </w:tr>
      <w:tr>
        <w:tc>
          <w:tcPr>
            <w:tcW w:type="dxa" w:w="280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Versi</w:t>
            </w:r>
          </w:p>
        </w:tc>
        <w:tc>
          <w:tcPr>
            <w:tcW w:type="dxa" w:w="655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1.0</w:t>
            </w:r>
          </w:p>
        </w:tc>
      </w:tr>
      <w:tr>
        <w:tc>
          <w:tcPr>
            <w:tcW w:type="dxa" w:w="280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Tanggal</w:t>
            </w:r>
          </w:p>
        </w:tc>
        <w:tc>
          <w:tcPr>
            <w:tcW w:type="dxa" w:w="655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10 September 2026</w:t>
            </w:r>
          </w:p>
        </w:tc>
      </w:tr>
    </w:tbl>
    <w:p>
      <w:r>
        <w:br w:type="page"/>
      </w:r>
    </w:p>
    <w:p>
      <w:pPr>
        <w:pStyle w:val="Heading1"/>
        <w:spacing w:after="140" w:before="280"/>
      </w:pPr>
      <w:r>
        <w:rPr>
          <w:rFonts w:ascii="Calibri" w:cs="Calibri" w:eastAsia="Calibri" w:hAnsi="Calibri"/>
          <w:b/>
          <w:bCs/>
          <w:color w:val="1F4E79"/>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4E79"/>
          <w:sz w:val="30"/>
          <w:szCs w:val="30"/>
        </w:rPr>
        <w:t xml:space="preserve">1. Ringkasan Eksekutif</w:t>
      </w:r>
    </w:p>
    <w:p>
      <w:pPr>
        <w:spacing w:after="120" w:line="276"/>
      </w:pPr>
      <w:r>
        <w:rPr>
          <w:rFonts w:ascii="Calibri" w:cs="Calibri" w:eastAsia="Calibri" w:hAnsi="Calibri"/>
          <w:sz w:val="22"/>
          <w:szCs w:val="22"/>
        </w:rPr>
        <w:t xml:space="preserve">JP-Insight adalah sistem berbasis kecerdasan buatan yang membantu peneliti dan penulis naskah bidang ke-PU-an menemukan temuan riset terdahulu, membandingkannya, mengenali celah penelitian yang masih terbuka, serta mengetahui peraturan dan SNI yang perlu dirujuk — seluruhnya disertai sumber yang dapat ditelusuri.</w:t>
      </w:r>
    </w:p>
    <w:p>
      <w:pPr>
        <w:spacing w:after="120" w:line="276"/>
      </w:pPr>
      <w:r>
        <w:rPr>
          <w:rFonts w:ascii="Calibri" w:cs="Calibri" w:eastAsia="Calibri" w:hAnsi="Calibri"/>
          <w:sz w:val="22"/>
          <w:szCs w:val="22"/>
        </w:rPr>
        <w:t xml:space="preserve">Sistem telah beroperasi dengan korpus 210 naskah Jurnal Permukiman terbitan 2008–2025 yang terindeks penuh, dan telah menjawab pertanyaan pengguna secara nyata. Pengembangan berikutnya diarahkan untuk memperluas cakupan pengetahuan ke peraturan dan literatur di luar jurnal, serta menambah kemampuan analisis perbandingan dan celah riset.</w:t>
      </w:r>
    </w:p>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Prinsip yang membedakan sistem ini</w:t>
            </w:r>
          </w:p>
          <w:p>
            <w:pPr>
              <w:spacing w:after="60" w:line="276"/>
            </w:pPr>
            <w:r>
              <w:rPr>
                <w:rFonts w:ascii="Calibri" w:cs="Calibri" w:eastAsia="Calibri" w:hAnsi="Calibri"/>
                <w:sz w:val="22"/>
                <w:szCs w:val="22"/>
              </w:rPr>
              <w:t xml:space="preserve">Setiap kalimat jawaban wajib memiliki sumber yang dapat ditelusuri. Bila tidak ada sumber pendukung, sistem menyatakan informasi tidak ditemukan — bukan mengarang jawaban.</w:t>
            </w:r>
          </w:p>
          <w:p>
            <w:pPr>
              <w:spacing w:after="60" w:line="276"/>
            </w:pPr>
            <w:r>
              <w:rPr>
                <w:rFonts w:ascii="Calibri" w:cs="Calibri" w:eastAsia="Calibri" w:hAnsi="Calibri"/>
                <w:sz w:val="22"/>
                <w:szCs w:val="22"/>
              </w:rPr>
              <w:t xml:space="preserve">Aturan ini ditegakkan pada tingkat program, bukan sekadar diinstruksikan kepada model bahasa.</w:t>
            </w:r>
          </w:p>
        </w:tc>
      </w:tr>
    </w:tbl>
    <w:p>
      <w:pPr>
        <w:spacing w:after="120"/>
      </w:pPr>
    </w:p>
    <w:p>
      <w:pPr>
        <w:spacing w:after="120" w:line="276"/>
      </w:pPr>
      <w:r>
        <w:rPr>
          <w:rFonts w:ascii="Calibri" w:cs="Calibri" w:eastAsia="Calibri" w:hAnsi="Calibri"/>
          <w:b/>
          <w:bCs/>
          <w:sz w:val="22"/>
          <w:szCs w:val="22"/>
        </w:rPr>
        <w:t xml:space="preserve">Capaian terukur sampai dokumen ini disusun: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148"/>
        <w:gridCol w:w="4212"/>
      </w:tblGrid>
      <w:tr>
        <w:trPr>
          <w:tblHeader/>
        </w:trPr>
        <w:tc>
          <w:tcPr>
            <w:tcW w:type="dxa" w:w="5148"/>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Indikator</w:t>
            </w:r>
          </w:p>
        </w:tc>
        <w:tc>
          <w:tcPr>
            <w:tcW w:type="dxa" w:w="4212"/>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Nilai</w:t>
            </w:r>
          </w:p>
        </w:tc>
      </w:tr>
      <w:tr>
        <w:tc>
          <w:tcPr>
            <w:tcW w:type="dxa" w:w="514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Naskah terindeks</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210 naskah (terbitan 2008–2025)</w:t>
            </w:r>
          </w:p>
        </w:tc>
      </w:tr>
      <w:tr>
        <w:tc>
          <w:tcPr>
            <w:tcW w:type="dxa" w:w="514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Potongan teks terindeks</w:t>
            </w:r>
          </w:p>
        </w:tc>
        <w:tc>
          <w:tcPr>
            <w:tcW w:type="dxa" w:w="421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8.589 potongan, seluruhnya ber-embedding</w:t>
            </w:r>
          </w:p>
        </w:tc>
      </w:tr>
      <w:tr>
        <w:tc>
          <w:tcPr>
            <w:tcW w:type="dxa" w:w="514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Rujukan peraturan terpanen</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786 penyebutan, 225 nomor peraturan</w:t>
            </w:r>
          </w:p>
        </w:tc>
      </w:tr>
      <w:tr>
        <w:tc>
          <w:tcPr>
            <w:tcW w:type="dxa" w:w="514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Deteksi rujukan edisi lama</w:t>
            </w:r>
          </w:p>
        </w:tc>
        <w:tc>
          <w:tcPr>
            <w:tcW w:type="dxa" w:w="421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37 temuan</w:t>
            </w:r>
          </w:p>
        </w:tc>
      </w:tr>
      <w:tr>
        <w:tc>
          <w:tcPr>
            <w:tcW w:type="dxa" w:w="514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Pengujian otomatis</w:t>
            </w:r>
          </w:p>
        </w:tc>
        <w:tc>
          <w:tcPr>
            <w:tcW w:type="dxa" w:w="421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61 pengujian, seluruhnya lulus</w:t>
            </w:r>
          </w:p>
        </w:tc>
      </w:tr>
    </w:tbl>
    <w:p>
      <w:r>
        <w:br w:type="page"/>
      </w:r>
    </w:p>
    <w:p>
      <w:pPr>
        <w:pStyle w:val="Heading1"/>
        <w:spacing w:after="140" w:before="280"/>
      </w:pPr>
      <w:r>
        <w:rPr>
          <w:rFonts w:ascii="Calibri" w:cs="Calibri" w:eastAsia="Calibri" w:hAnsi="Calibri"/>
          <w:b/>
          <w:bCs/>
          <w:color w:val="1F4E79"/>
          <w:sz w:val="30"/>
          <w:szCs w:val="30"/>
        </w:rPr>
        <w:t xml:space="preserve">2. Latar Belakang dan Permasalahan</w:t>
      </w:r>
    </w:p>
    <w:p>
      <w:pPr>
        <w:pStyle w:val="Heading2"/>
        <w:spacing w:after="140" w:before="280"/>
      </w:pPr>
      <w:r>
        <w:rPr>
          <w:rFonts w:ascii="Calibri" w:cs="Calibri" w:eastAsia="Calibri" w:hAnsi="Calibri"/>
          <w:b/>
          <w:bCs/>
          <w:color w:val="1F4E79"/>
          <w:sz w:val="25"/>
          <w:szCs w:val="25"/>
        </w:rPr>
        <w:t xml:space="preserve">2.1 Latar Belakang</w:t>
      </w:r>
    </w:p>
    <w:p>
      <w:pPr>
        <w:spacing w:after="120" w:line="276"/>
      </w:pPr>
      <w:r>
        <w:rPr>
          <w:rFonts w:ascii="Calibri" w:cs="Calibri" w:eastAsia="Calibri" w:hAnsi="Calibri"/>
          <w:sz w:val="22"/>
          <w:szCs w:val="22"/>
        </w:rPr>
        <w:t xml:space="preserve">Pengelolaan Jurnal Permukiman menghasilkan akumulasi pengetahuan yang besar namun tersebar di ratusan naskah. Pengetahuan tersebut sulit dimanfaatkan kembali secara sistematis, baik oleh peneliti yang akan menulis, maupun oleh pengelola jurnal dan unit kerja yang memerlukan rujukan.</w:t>
      </w:r>
    </w:p>
    <w:p>
      <w:pPr>
        <w:spacing w:after="120" w:line="276"/>
      </w:pPr>
      <w:r>
        <w:rPr>
          <w:rFonts w:ascii="Calibri" w:cs="Calibri" w:eastAsia="Calibri" w:hAnsi="Calibri"/>
          <w:sz w:val="22"/>
          <w:szCs w:val="22"/>
        </w:rPr>
        <w:t xml:space="preserve">Di sisi lain, penulisan karya ilmiah bidang ke-PU-an menuntut kesesuaian dengan kerangka normatif — peraturan perundang-undangan, Norma, Standar, Pedoman, dan Kriteria (NSPK), serta Standar Nasional Indonesia. Ketidaktahuan atas aturan yang berlaku, atau perujukan pada edisi standar yang sudah diperbarui, menurunkan mutu naskah.</w:t>
      </w:r>
    </w:p>
    <w:p>
      <w:pPr>
        <w:pStyle w:val="Heading2"/>
        <w:spacing w:after="140" w:before="280"/>
      </w:pPr>
      <w:r>
        <w:rPr>
          <w:rFonts w:ascii="Calibri" w:cs="Calibri" w:eastAsia="Calibri" w:hAnsi="Calibri"/>
          <w:b/>
          <w:bCs/>
          <w:color w:val="1F4E79"/>
          <w:sz w:val="25"/>
          <w:szCs w:val="25"/>
        </w:rPr>
        <w:t xml:space="preserve">2.2 Permasalahan yang Dijawab</w:t>
      </w:r>
    </w:p>
    <w:p>
      <w:pPr>
        <w:pStyle w:val="ListParagraph"/>
        <w:numPr>
          <w:ilvl w:val="0"/>
          <w:numId w:val="2"/>
        </w:numPr>
        <w:spacing w:after="80" w:line="276"/>
      </w:pPr>
      <w:r>
        <w:rPr>
          <w:rFonts w:ascii="Calibri" w:cs="Calibri" w:eastAsia="Calibri" w:hAnsi="Calibri"/>
          <w:sz w:val="22"/>
          <w:szCs w:val="22"/>
        </w:rPr>
        <w:t xml:space="preserve">Temuan riset terdahulu sulit ditemukan kembali dan sulit dibandingkan satu sama lain.</w:t>
      </w:r>
    </w:p>
    <w:p>
      <w:pPr>
        <w:pStyle w:val="ListParagraph"/>
        <w:numPr>
          <w:ilvl w:val="0"/>
          <w:numId w:val="2"/>
        </w:numPr>
        <w:spacing w:after="80" w:line="276"/>
      </w:pPr>
      <w:r>
        <w:rPr>
          <w:rFonts w:ascii="Calibri" w:cs="Calibri" w:eastAsia="Calibri" w:hAnsi="Calibri"/>
          <w:sz w:val="22"/>
          <w:szCs w:val="22"/>
        </w:rPr>
        <w:t xml:space="preserve">Celah penelitian yang masih terbuka tidak terpetakan secara sistematis.</w:t>
      </w:r>
    </w:p>
    <w:p>
      <w:pPr>
        <w:pStyle w:val="ListParagraph"/>
        <w:numPr>
          <w:ilvl w:val="0"/>
          <w:numId w:val="2"/>
        </w:numPr>
        <w:spacing w:after="80" w:line="276"/>
      </w:pPr>
      <w:r>
        <w:rPr>
          <w:rFonts w:ascii="Calibri" w:cs="Calibri" w:eastAsia="Calibri" w:hAnsi="Calibri"/>
          <w:sz w:val="22"/>
          <w:szCs w:val="22"/>
        </w:rPr>
        <w:t xml:space="preserve">Peraturan dan SNI yang relevan untuk suatu topik tidak mudah diketahui penulis.</w:t>
      </w:r>
    </w:p>
    <w:p>
      <w:pPr>
        <w:pStyle w:val="ListParagraph"/>
        <w:numPr>
          <w:ilvl w:val="0"/>
          <w:numId w:val="2"/>
        </w:numPr>
        <w:spacing w:after="80" w:line="276"/>
      </w:pPr>
      <w:r>
        <w:rPr>
          <w:rFonts w:ascii="Calibri" w:cs="Calibri" w:eastAsia="Calibri" w:hAnsi="Calibri"/>
          <w:sz w:val="22"/>
          <w:szCs w:val="22"/>
        </w:rPr>
        <w:t xml:space="preserve">Rujukan pada edisi standar yang sudah diperbarui sulit terdeteksi secara manual.</w:t>
      </w:r>
    </w:p>
    <w:p>
      <w:pPr>
        <w:pStyle w:val="ListParagraph"/>
        <w:numPr>
          <w:ilvl w:val="0"/>
          <w:numId w:val="2"/>
        </w:numPr>
        <w:spacing w:after="80" w:line="276"/>
      </w:pPr>
      <w:r>
        <w:rPr>
          <w:rFonts w:ascii="Calibri" w:cs="Calibri" w:eastAsia="Calibri" w:hAnsi="Calibri"/>
          <w:sz w:val="22"/>
          <w:szCs w:val="22"/>
        </w:rPr>
        <w:t xml:space="preserve">Pemanfaatan kecerdasan buatan umum berisiko menghasilkan jawaban yang tidak dapat dipertanggungjawabkan sumbernya.</w:t>
      </w:r>
    </w:p>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Catatan mengenai risiko halusinasi</w:t>
            </w:r>
          </w:p>
          <w:p>
            <w:pPr>
              <w:spacing w:after="60" w:line="276"/>
            </w:pPr>
            <w:r>
              <w:rPr>
                <w:rFonts w:ascii="Calibri" w:cs="Calibri" w:eastAsia="Calibri" w:hAnsi="Calibri"/>
                <w:sz w:val="22"/>
                <w:szCs w:val="22"/>
              </w:rPr>
              <w:t xml:space="preserve">Model bahasa umum dapat menghasilkan jawaban yang terdengar meyakinkan namun tidak berdasar, termasuk mengarang nomor pasal atau nomor standar. Untuk konteks ke-PU-an, kesalahan semacam ini berkonsekuensi serius.</w:t>
            </w:r>
          </w:p>
          <w:p>
            <w:pPr>
              <w:spacing w:after="60" w:line="276"/>
            </w:pPr>
            <w:r>
              <w:rPr>
                <w:rFonts w:ascii="Calibri" w:cs="Calibri" w:eastAsia="Calibri" w:hAnsi="Calibri"/>
                <w:sz w:val="22"/>
                <w:szCs w:val="22"/>
              </w:rPr>
              <w:t xml:space="preserve">Seluruh rancangan sistem ini disusun dengan pembatasan tersebut sebagai syarat utama, bukan sebagai penyempurnaan yang menyusul.</w:t>
            </w:r>
          </w:p>
        </w:tc>
      </w:tr>
    </w:tbl>
    <w:p>
      <w:r>
        <w:br w:type="page"/>
      </w:r>
    </w:p>
    <w:p>
      <w:pPr>
        <w:pStyle w:val="Heading1"/>
        <w:spacing w:after="140" w:before="280"/>
      </w:pPr>
      <w:r>
        <w:rPr>
          <w:rFonts w:ascii="Calibri" w:cs="Calibri" w:eastAsia="Calibri" w:hAnsi="Calibri"/>
          <w:b/>
          <w:bCs/>
          <w:color w:val="1F4E79"/>
          <w:sz w:val="30"/>
          <w:szCs w:val="30"/>
        </w:rPr>
        <w:t xml:space="preserve">3. Tujuan dan Ruang Lingkup</w:t>
      </w:r>
    </w:p>
    <w:p>
      <w:pPr>
        <w:pStyle w:val="Heading2"/>
        <w:spacing w:after="140" w:before="280"/>
      </w:pPr>
      <w:r>
        <w:rPr>
          <w:rFonts w:ascii="Calibri" w:cs="Calibri" w:eastAsia="Calibri" w:hAnsi="Calibri"/>
          <w:b/>
          <w:bCs/>
          <w:color w:val="1F4E79"/>
          <w:sz w:val="25"/>
          <w:szCs w:val="25"/>
        </w:rPr>
        <w:t xml:space="preserve">3.1 Tujuan Sistem</w:t>
      </w:r>
    </w:p>
    <w:p>
      <w:pPr>
        <w:spacing w:after="120" w:line="276"/>
      </w:pPr>
      <w:r>
        <w:rPr>
          <w:rFonts w:ascii="Calibri" w:cs="Calibri" w:eastAsia="Calibri" w:hAnsi="Calibri"/>
          <w:sz w:val="22"/>
          <w:szCs w:val="22"/>
        </w:rPr>
        <w:t xml:space="preserve">Pengguna utama sistem adalah peneliti dan penulis naskah. Sistem ditujukan untuk membantu mereka:</w:t>
      </w:r>
    </w:p>
    <w:p>
      <w:pPr>
        <w:pStyle w:val="ListParagraph"/>
        <w:numPr>
          <w:ilvl w:val="0"/>
          <w:numId w:val="2"/>
        </w:numPr>
        <w:spacing w:after="80" w:line="276"/>
      </w:pPr>
      <w:r>
        <w:rPr>
          <w:rFonts w:ascii="Calibri" w:cs="Calibri" w:eastAsia="Calibri" w:hAnsi="Calibri"/>
          <w:sz w:val="22"/>
          <w:szCs w:val="22"/>
        </w:rPr>
        <w:t xml:space="preserve">Menemukan apa yang sudah ditemukan riset terdahulu, beserta sitasinya.</w:t>
      </w:r>
    </w:p>
    <w:p>
      <w:pPr>
        <w:pStyle w:val="ListParagraph"/>
        <w:numPr>
          <w:ilvl w:val="0"/>
          <w:numId w:val="2"/>
        </w:numPr>
        <w:spacing w:after="80" w:line="276"/>
      </w:pPr>
      <w:r>
        <w:rPr>
          <w:rFonts w:ascii="Calibri" w:cs="Calibri" w:eastAsia="Calibri" w:hAnsi="Calibri"/>
          <w:sz w:val="22"/>
          <w:szCs w:val="22"/>
        </w:rPr>
        <w:t xml:space="preserve">Membandingkan temuan antar naskah — metode, lokasi, nilai, dan arah pengaruh.</w:t>
      </w:r>
    </w:p>
    <w:p>
      <w:pPr>
        <w:pStyle w:val="ListParagraph"/>
        <w:numPr>
          <w:ilvl w:val="0"/>
          <w:numId w:val="2"/>
        </w:numPr>
        <w:spacing w:after="80" w:line="276"/>
      </w:pPr>
      <w:r>
        <w:rPr>
          <w:rFonts w:ascii="Calibri" w:cs="Calibri" w:eastAsia="Calibri" w:hAnsi="Calibri"/>
          <w:sz w:val="22"/>
          <w:szCs w:val="22"/>
        </w:rPr>
        <w:t xml:space="preserve">Melihat celah riset yang masih terbuka, dengan batas cakupan yang dinyatakan jujur.</w:t>
      </w:r>
    </w:p>
    <w:p>
      <w:pPr>
        <w:pStyle w:val="ListParagraph"/>
        <w:numPr>
          <w:ilvl w:val="0"/>
          <w:numId w:val="2"/>
        </w:numPr>
        <w:spacing w:after="80" w:line="276"/>
      </w:pPr>
      <w:r>
        <w:rPr>
          <w:rFonts w:ascii="Calibri" w:cs="Calibri" w:eastAsia="Calibri" w:hAnsi="Calibri"/>
          <w:sz w:val="22"/>
          <w:szCs w:val="22"/>
        </w:rPr>
        <w:t xml:space="preserve">Mengetahui peraturan dan SNI yang perlu dirujuk untuk topik yang ditulis.</w:t>
      </w:r>
    </w:p>
    <w:p>
      <w:pPr>
        <w:spacing w:after="200" w:line="276"/>
      </w:pPr>
      <w:r>
        <w:rPr>
          <w:rFonts w:ascii="Calibri" w:cs="Calibri" w:eastAsia="Calibri" w:hAnsi="Calibri"/>
          <w:sz w:val="22"/>
          <w:szCs w:val="22"/>
        </w:rPr>
        <w:t xml:space="preserve">Peran lain — asisten pengelola jurnal dan basis pengetahuan unit kerja — tetap berada dalam peta jalan, namun ditempatkan setelah peran peneliti apabila terjadi persaingan prioritas.</w:t>
      </w:r>
    </w:p>
    <w:p>
      <w:pPr>
        <w:pStyle w:val="Heading2"/>
        <w:spacing w:after="140" w:before="280"/>
      </w:pPr>
      <w:r>
        <w:rPr>
          <w:rFonts w:ascii="Calibri" w:cs="Calibri" w:eastAsia="Calibri" w:hAnsi="Calibri"/>
          <w:b/>
          <w:bCs/>
          <w:color w:val="1F4E79"/>
          <w:sz w:val="25"/>
          <w:szCs w:val="25"/>
        </w:rPr>
        <w:t xml:space="preserve">3.2 Lingkup Keilmuan</w:t>
      </w:r>
    </w:p>
    <w:p>
      <w:pPr>
        <w:spacing w:after="120" w:line="276"/>
      </w:pPr>
      <w:r>
        <w:rPr>
          <w:rFonts w:ascii="Calibri" w:cs="Calibri" w:eastAsia="Calibri" w:hAnsi="Calibri"/>
          <w:sz w:val="22"/>
          <w:szCs w:val="22"/>
        </w:rPr>
        <w:t xml:space="preserve">Mengikuti Focus and Scope Jurnal Permukiman:</w:t>
      </w:r>
    </w:p>
    <w:p>
      <w:pPr>
        <w:pStyle w:val="ListParagraph"/>
        <w:numPr>
          <w:ilvl w:val="0"/>
          <w:numId w:val="3"/>
        </w:numPr>
        <w:spacing w:after="80" w:line="276"/>
      </w:pPr>
      <w:r>
        <w:rPr>
          <w:rFonts w:ascii="Calibri" w:cs="Calibri" w:eastAsia="Calibri" w:hAnsi="Calibri"/>
          <w:sz w:val="22"/>
          <w:szCs w:val="22"/>
        </w:rPr>
        <w:t xml:space="preserve">Architecture, Urban and Environment</w:t>
      </w:r>
    </w:p>
    <w:p>
      <w:pPr>
        <w:pStyle w:val="ListParagraph"/>
        <w:numPr>
          <w:ilvl w:val="0"/>
          <w:numId w:val="3"/>
        </w:numPr>
        <w:spacing w:after="80" w:line="276"/>
      </w:pPr>
      <w:r>
        <w:rPr>
          <w:rFonts w:ascii="Calibri" w:cs="Calibri" w:eastAsia="Calibri" w:hAnsi="Calibri"/>
          <w:sz w:val="22"/>
          <w:szCs w:val="22"/>
        </w:rPr>
        <w:t xml:space="preserve">Building Materials, Structure and Construction</w:t>
      </w:r>
    </w:p>
    <w:p>
      <w:pPr>
        <w:pStyle w:val="ListParagraph"/>
        <w:numPr>
          <w:ilvl w:val="0"/>
          <w:numId w:val="3"/>
        </w:numPr>
        <w:spacing w:after="80" w:line="276"/>
      </w:pPr>
      <w:r>
        <w:rPr>
          <w:rFonts w:ascii="Calibri" w:cs="Calibri" w:eastAsia="Calibri" w:hAnsi="Calibri"/>
          <w:sz w:val="22"/>
          <w:szCs w:val="22"/>
        </w:rPr>
        <w:t xml:space="preserve">Building Science and Utilities</w:t>
      </w:r>
    </w:p>
    <w:p>
      <w:pPr>
        <w:pStyle w:val="ListParagraph"/>
        <w:numPr>
          <w:ilvl w:val="0"/>
          <w:numId w:val="3"/>
        </w:numPr>
        <w:spacing w:after="80" w:line="276"/>
      </w:pPr>
      <w:r>
        <w:rPr>
          <w:rFonts w:ascii="Calibri" w:cs="Calibri" w:eastAsia="Calibri" w:hAnsi="Calibri"/>
          <w:sz w:val="22"/>
          <w:szCs w:val="22"/>
        </w:rPr>
        <w:t xml:space="preserve">Drinking Water and Environmental Sanitation</w:t>
      </w:r>
    </w:p>
    <w:p>
      <w:pPr>
        <w:spacing w:after="120"/>
      </w:pPr>
    </w:p>
    <w:p>
      <w:pPr>
        <w:pStyle w:val="Heading2"/>
        <w:spacing w:after="140" w:before="280"/>
      </w:pPr>
      <w:r>
        <w:rPr>
          <w:rFonts w:ascii="Calibri" w:cs="Calibri" w:eastAsia="Calibri" w:hAnsi="Calibri"/>
          <w:b/>
          <w:bCs/>
          <w:color w:val="1F4E79"/>
          <w:sz w:val="25"/>
          <w:szCs w:val="25"/>
        </w:rPr>
        <w:t xml:space="preserve">3.3 Lingkup Korpus Pengetahuan</w:t>
      </w:r>
    </w:p>
    <w:p>
      <w:pPr>
        <w:spacing w:after="120" w:line="276"/>
      </w:pPr>
      <w:r>
        <w:rPr>
          <w:rFonts w:ascii="Calibri" w:cs="Calibri" w:eastAsia="Calibri" w:hAnsi="Calibri"/>
          <w:sz w:val="22"/>
          <w:szCs w:val="22"/>
        </w:rPr>
        <w:t xml:space="preserve">Cakupan pengetahuan dikembangkan bertahap dalam empat lapis: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
        <w:gridCol w:w="5803"/>
        <w:gridCol w:w="2621"/>
      </w:tblGrid>
      <w:tr>
        <w:trPr>
          <w:tblHeader/>
        </w:trPr>
        <w:tc>
          <w:tcPr>
            <w:tcW w:type="dxa" w:w="93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Lapis</w:t>
            </w:r>
          </w:p>
        </w:tc>
        <w:tc>
          <w:tcPr>
            <w:tcW w:type="dxa" w:w="5803"/>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Isi</w:t>
            </w:r>
          </w:p>
        </w:tc>
        <w:tc>
          <w:tcPr>
            <w:tcW w:type="dxa" w:w="2621"/>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Status</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1</w:t>
            </w:r>
          </w:p>
        </w:tc>
        <w:tc>
          <w:tcPr>
            <w:tcW w:type="dxa" w:w="5803"/>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Naskah Jurnal Permukiman beserta sinkronisasi terbitan baru</w:t>
            </w:r>
          </w:p>
        </w:tc>
        <w:tc>
          <w:tcPr>
            <w:tcW w:type="dxa" w:w="2621"/>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Tersedia — 210 naskah</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2</w:t>
            </w:r>
          </w:p>
        </w:tc>
        <w:tc>
          <w:tcPr>
            <w:tcW w:type="dxa" w:w="5803"/>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Teks peraturan dan NSPK bidang PU (UU/PP/Permen/SNI/Pedoman)</w:t>
            </w:r>
          </w:p>
        </w:tc>
        <w:tc>
          <w:tcPr>
            <w:tcW w:type="dxa" w:w="2621"/>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3</w:t>
            </w:r>
          </w:p>
        </w:tc>
        <w:tc>
          <w:tcPr>
            <w:tcW w:type="dxa" w:w="5803"/>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Literatur luar — metadata dan abstrak (Garuda/SINTA/Crossref)</w:t>
            </w:r>
          </w:p>
        </w:tc>
        <w:tc>
          <w:tcPr>
            <w:tcW w:type="dxa" w:w="2621"/>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4</w:t>
            </w:r>
          </w:p>
        </w:tc>
        <w:tc>
          <w:tcPr>
            <w:tcW w:type="dxa" w:w="5803"/>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Dokumen internal unit kerja</w:t>
            </w:r>
          </w:p>
        </w:tc>
        <w:tc>
          <w:tcPr>
            <w:tcW w:type="dxa" w:w="2621"/>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 — perlu aturan akses</w:t>
            </w:r>
          </w:p>
        </w:tc>
      </w:tr>
    </w:tbl>
    <w:p>
      <w:r>
        <w:br w:type="page"/>
      </w:r>
    </w:p>
    <w:p>
      <w:pPr>
        <w:pStyle w:val="Heading1"/>
        <w:spacing w:after="140" w:before="280"/>
      </w:pPr>
      <w:r>
        <w:rPr>
          <w:rFonts w:ascii="Calibri" w:cs="Calibri" w:eastAsia="Calibri" w:hAnsi="Calibri"/>
          <w:b/>
          <w:bCs/>
          <w:color w:val="1F4E79"/>
          <w:sz w:val="30"/>
          <w:szCs w:val="30"/>
        </w:rPr>
        <w:t xml:space="preserve">4. Arsitektur Sistem</w:t>
      </w:r>
    </w:p>
    <w:p>
      <w:pPr>
        <w:pStyle w:val="Heading2"/>
        <w:spacing w:after="140" w:before="280"/>
      </w:pPr>
      <w:r>
        <w:rPr>
          <w:rFonts w:ascii="Calibri" w:cs="Calibri" w:eastAsia="Calibri" w:hAnsi="Calibri"/>
          <w:b/>
          <w:bCs/>
          <w:color w:val="1F4E79"/>
          <w:sz w:val="25"/>
          <w:szCs w:val="25"/>
        </w:rPr>
        <w:t xml:space="preserve">4.1 Arsitektur yang Berjalan Saat Ini</w:t>
      </w:r>
    </w:p>
    <w:p>
      <w:pPr>
        <w:spacing w:after="120" w:line="276"/>
      </w:pPr>
      <w:r>
        <w:rPr>
          <w:rFonts w:ascii="Calibri" w:cs="Calibri" w:eastAsia="Calibri" w:hAnsi="Calibri"/>
          <w:sz w:val="22"/>
          <w:szCs w:val="22"/>
        </w:rPr>
        <w:t xml:space="preserve">Sistem bekerja dengan pola Retrieval-Augmented Generation: naskah diolah menjadi potongan teks terindeks, pertanyaan pengguna dicocokkan ke potongan yang relevan, lalu jawaban disusun berdasarkan potongan tersebut — bukan berdasarkan pengetahuan bawaan model.</w:t>
      </w:r>
    </w:p>
    <w:p>
      <w:pPr>
        <w:spacing w:after="40"/>
      </w:pPr>
      <w:r>
        <w:rPr>
          <w:rFonts w:ascii="Consolas" w:cs="Consolas" w:eastAsia="Consolas" w:hAnsi="Consolas"/>
          <w:color w:val="333333"/>
          <w:sz w:val="18"/>
          <w:szCs w:val="18"/>
        </w:rPr>
        <w:t xml:space="preserve">  ┌──────────┐   ┌───────────┐   ┌──────────┐   ┌─────────────┐</w:t>
      </w:r>
    </w:p>
    <w:p>
      <w:pPr>
        <w:spacing w:after="40"/>
      </w:pPr>
      <w:r>
        <w:rPr>
          <w:rFonts w:ascii="Consolas" w:cs="Consolas" w:eastAsia="Consolas" w:hAnsi="Consolas"/>
          <w:color w:val="333333"/>
          <w:sz w:val="18"/>
          <w:szCs w:val="18"/>
        </w:rPr>
        <w:t xml:space="preserve">  │ Unggah   │──►│ Ekstraksi │──►│ Chunking │──►│ Embedding   │</w:t>
      </w:r>
    </w:p>
    <w:p>
      <w:pPr>
        <w:spacing w:after="40"/>
      </w:pPr>
      <w:r>
        <w:rPr>
          <w:rFonts w:ascii="Consolas" w:cs="Consolas" w:eastAsia="Consolas" w:hAnsi="Consolas"/>
          <w:color w:val="333333"/>
          <w:sz w:val="18"/>
          <w:szCs w:val="18"/>
        </w:rPr>
        <w:t xml:space="preserve">  │ PDF/DOCX │   │ teks PDF  │   │ 1.000 kar│   │ lokal ONNX  │</w:t>
      </w:r>
    </w:p>
    <w:p>
      <w:pPr>
        <w:spacing w:after="40"/>
      </w:pPr>
      <w:r>
        <w:rPr>
          <w:rFonts w:ascii="Consolas" w:cs="Consolas" w:eastAsia="Consolas" w:hAnsi="Consolas"/>
          <w:color w:val="333333"/>
          <w:sz w:val="18"/>
          <w:szCs w:val="18"/>
        </w:rPr>
        <w:t xml:space="preserve">  └──────────┘   └───────────┘   └────┬─────┘   └──────┬──────┘</w:t>
      </w:r>
    </w:p>
    <w:p>
      <w:pPr>
        <w:spacing w:after="40"/>
      </w:pPr>
      <w:r>
        <w:rPr>
          <w:rFonts w:ascii="Consolas" w:cs="Consolas" w:eastAsia="Consolas" w:hAnsi="Consolas"/>
          <w:color w:val="333333"/>
          <w:sz w:val="18"/>
          <w:szCs w:val="18"/>
        </w:rPr>
        <w:t xml:space="preserve">  ┌──────────┐                        │                │</w:t>
      </w:r>
    </w:p>
    <w:p>
      <w:pPr>
        <w:spacing w:after="40"/>
      </w:pPr>
      <w:r>
        <w:rPr>
          <w:rFonts w:ascii="Consolas" w:cs="Consolas" w:eastAsia="Consolas" w:hAnsi="Consolas"/>
          <w:color w:val="333333"/>
          <w:sz w:val="18"/>
          <w:szCs w:val="18"/>
        </w:rPr>
        <w:t xml:space="preserve">  │ Sinkron  │────────────────────────┘                ▼</w:t>
      </w:r>
    </w:p>
    <w:p>
      <w:pPr>
        <w:spacing w:after="40"/>
      </w:pPr>
      <w:r>
        <w:rPr>
          <w:rFonts w:ascii="Consolas" w:cs="Consolas" w:eastAsia="Consolas" w:hAnsi="Consolas"/>
          <w:color w:val="333333"/>
          <w:sz w:val="18"/>
          <w:szCs w:val="18"/>
        </w:rPr>
        <w:t xml:space="preserve">  │ OJS      │                                  ┌─────────────┐</w:t>
      </w:r>
    </w:p>
    <w:p>
      <w:pPr>
        <w:spacing w:after="40"/>
      </w:pPr>
      <w:r>
        <w:rPr>
          <w:rFonts w:ascii="Consolas" w:cs="Consolas" w:eastAsia="Consolas" w:hAnsi="Consolas"/>
          <w:color w:val="333333"/>
          <w:sz w:val="18"/>
          <w:szCs w:val="18"/>
        </w:rPr>
        <w:t xml:space="preserve">  └──────────┘                                  │  SQLite     │</w:t>
      </w:r>
    </w:p>
    <w:p>
      <w:pPr>
        <w:spacing w:after="40"/>
      </w:pPr>
      <w:r>
        <w:rPr>
          <w:rFonts w:ascii="Consolas" w:cs="Consolas" w:eastAsia="Consolas" w:hAnsi="Consolas"/>
          <w:color w:val="333333"/>
          <w:sz w:val="18"/>
          <w:szCs w:val="18"/>
        </w:rPr>
        <w:t xml:space="preserve">                                                │  + FTS5     │</w:t>
      </w:r>
    </w:p>
    <w:p>
      <w:pPr>
        <w:spacing w:after="40"/>
      </w:pPr>
      <w:r>
        <w:rPr>
          <w:rFonts w:ascii="Consolas" w:cs="Consolas" w:eastAsia="Consolas" w:hAnsi="Consolas"/>
          <w:color w:val="333333"/>
          <w:sz w:val="18"/>
          <w:szCs w:val="18"/>
        </w:rPr>
        <w:t xml:space="preserve">  ┌──────────┐   ┌───────────────┐              └──────┬──────┘</w:t>
      </w:r>
    </w:p>
    <w:p>
      <w:pPr>
        <w:spacing w:after="40"/>
      </w:pPr>
      <w:r>
        <w:rPr>
          <w:rFonts w:ascii="Consolas" w:cs="Consolas" w:eastAsia="Consolas" w:hAnsi="Consolas"/>
          <w:color w:val="333333"/>
          <w:sz w:val="18"/>
          <w:szCs w:val="18"/>
        </w:rPr>
        <w:t xml:space="preserve">  │Pertanyaan│──►│ Pencarian     │◄────────────────────┘</w:t>
      </w:r>
    </w:p>
    <w:p>
      <w:pPr>
        <w:spacing w:after="40"/>
      </w:pPr>
      <w:r>
        <w:rPr>
          <w:rFonts w:ascii="Consolas" w:cs="Consolas" w:eastAsia="Consolas" w:hAnsi="Consolas"/>
          <w:color w:val="333333"/>
          <w:sz w:val="18"/>
          <w:szCs w:val="18"/>
        </w:rPr>
        <w:t xml:space="preserve">  └──────────┘   │ hibrida       │</w:t>
      </w:r>
    </w:p>
    <w:p>
      <w:pPr>
        <w:spacing w:after="40"/>
      </w:pPr>
      <w:r>
        <w:rPr>
          <w:rFonts w:ascii="Consolas" w:cs="Consolas" w:eastAsia="Consolas" w:hAnsi="Consolas"/>
          <w:color w:val="333333"/>
          <w:sz w:val="18"/>
          <w:szCs w:val="18"/>
        </w:rPr>
        <w:t xml:space="preserve">                 │ semantik+kata │</w:t>
      </w:r>
    </w:p>
    <w:p>
      <w:pPr>
        <w:spacing w:after="40"/>
      </w:pPr>
      <w:r>
        <w:rPr>
          <w:rFonts w:ascii="Consolas" w:cs="Consolas" w:eastAsia="Consolas" w:hAnsi="Consolas"/>
          <w:color w:val="333333"/>
          <w:sz w:val="18"/>
          <w:szCs w:val="18"/>
        </w:rPr>
        <w:t xml:space="preserve">                 │ kunci+peraturan│</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   ┌──────────────┐</w:t>
      </w:r>
    </w:p>
    <w:p>
      <w:pPr>
        <w:spacing w:after="40"/>
      </w:pPr>
      <w:r>
        <w:rPr>
          <w:rFonts w:ascii="Consolas" w:cs="Consolas" w:eastAsia="Consolas" w:hAnsi="Consolas"/>
          <w:color w:val="333333"/>
          <w:sz w:val="18"/>
          <w:szCs w:val="18"/>
        </w:rPr>
        <w:t xml:space="preserve">                 │ Sintesis LLM  │──►│Penjaga Sitasi│──► Jawaban</w:t>
      </w:r>
    </w:p>
    <w:p>
      <w:pPr>
        <w:spacing w:after="40"/>
      </w:pPr>
      <w:r>
        <w:rPr>
          <w:rFonts w:ascii="Consolas" w:cs="Consolas" w:eastAsia="Consolas" w:hAnsi="Consolas"/>
          <w:color w:val="333333"/>
          <w:sz w:val="18"/>
          <w:szCs w:val="18"/>
        </w:rPr>
        <w:t xml:space="preserve">                 └───────────────┘   └──────────────┘    bersumber</w:t>
      </w:r>
    </w:p>
    <w:p>
      <w:pPr>
        <w:spacing w:after="200"/>
      </w:pPr>
    </w:p>
    <w:p>
      <w:pPr>
        <w:pStyle w:val="Heading2"/>
        <w:spacing w:after="140" w:before="280"/>
      </w:pPr>
      <w:r>
        <w:rPr>
          <w:rFonts w:ascii="Calibri" w:cs="Calibri" w:eastAsia="Calibri" w:hAnsi="Calibri"/>
          <w:b/>
          <w:bCs/>
          <w:color w:val="1F4E79"/>
          <w:sz w:val="25"/>
          <w:szCs w:val="25"/>
        </w:rPr>
        <w:t xml:space="preserve">4.2 Arsitektur Target — Dua Lapis Pengetahuan</w:t>
      </w:r>
    </w:p>
    <w:p>
      <w:pPr>
        <w:spacing w:after="120" w:line="276"/>
      </w:pPr>
      <w:r>
        <w:rPr>
          <w:rFonts w:ascii="Calibri" w:cs="Calibri" w:eastAsia="Calibri" w:hAnsi="Calibri"/>
          <w:sz w:val="22"/>
          <w:szCs w:val="22"/>
        </w:rPr>
        <w:t xml:space="preserve">Arsitektur target memisahkan dua jenis pengetahuan yang tidak boleh saling menggantikan: lapis normatif yang menjawab "apa yang berlaku", dan lapis empiris yang menjawab "apa yang terbukti".</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Pertanyaan  ──────►  │  Router &amp; Perluasan Query │</w:t>
      </w:r>
    </w:p>
    <w:p>
      <w:pPr>
        <w:spacing w:after="40"/>
      </w:pPr>
      <w:r>
        <w:rPr>
          <w:rFonts w:ascii="Consolas" w:cs="Consolas" w:eastAsia="Consolas" w:hAnsi="Consolas"/>
          <w:color w:val="333333"/>
          <w:sz w:val="18"/>
          <w:szCs w:val="18"/>
        </w:rPr>
        <w:t xml:space="preserve">   peneliti             │  normatif / empiris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                                   ▼</w:t>
      </w:r>
    </w:p>
    <w:p>
      <w:pPr>
        <w:spacing w:after="40"/>
      </w:pPr>
      <w:r>
        <w:rPr>
          <w:rFonts w:ascii="Consolas" w:cs="Consolas" w:eastAsia="Consolas" w:hAnsi="Consolas"/>
          <w:color w:val="333333"/>
          <w:sz w:val="18"/>
          <w:szCs w:val="18"/>
        </w:rPr>
        <w:t xml:space="preserve">      ┌──────────────────────────┐      ┌──────────────────────────┐</w:t>
      </w:r>
    </w:p>
    <w:p>
      <w:pPr>
        <w:spacing w:after="40"/>
      </w:pPr>
      <w:r>
        <w:rPr>
          <w:rFonts w:ascii="Consolas" w:cs="Consolas" w:eastAsia="Consolas" w:hAnsi="Consolas"/>
          <w:color w:val="333333"/>
          <w:sz w:val="18"/>
          <w:szCs w:val="18"/>
        </w:rPr>
        <w:t xml:space="preserve">      │   LAPIS NORMATIF         │      │   LAPIS EMPIRIS          │</w:t>
      </w:r>
    </w:p>
    <w:p>
      <w:pPr>
        <w:spacing w:after="40"/>
      </w:pPr>
      <w:r>
        <w:rPr>
          <w:rFonts w:ascii="Consolas" w:cs="Consolas" w:eastAsia="Consolas" w:hAnsi="Consolas"/>
          <w:color w:val="333333"/>
          <w:sz w:val="18"/>
          <w:szCs w:val="18"/>
        </w:rPr>
        <w:t xml:space="preserve">      │   UU / PP / Permen /     │      │   Naskah Jurnal          │</w:t>
      </w:r>
    </w:p>
    <w:p>
      <w:pPr>
        <w:spacing w:after="40"/>
      </w:pPr>
      <w:r>
        <w:rPr>
          <w:rFonts w:ascii="Consolas" w:cs="Consolas" w:eastAsia="Consolas" w:hAnsi="Consolas"/>
          <w:color w:val="333333"/>
          <w:sz w:val="18"/>
          <w:szCs w:val="18"/>
        </w:rPr>
        <w:t xml:space="preserve">      │   SNI / Pedoman NSPK     │      │   Permukiman + riset     │</w:t>
      </w:r>
    </w:p>
    <w:p>
      <w:pPr>
        <w:spacing w:after="40"/>
      </w:pPr>
      <w:r>
        <w:rPr>
          <w:rFonts w:ascii="Consolas" w:cs="Consolas" w:eastAsia="Consolas" w:hAnsi="Consolas"/>
          <w:color w:val="333333"/>
          <w:sz w:val="18"/>
          <w:szCs w:val="18"/>
        </w:rPr>
        <w:t xml:space="preserve">      │   "apa yang berlaku"     │      │   "apa yang terbukti"    │</w:t>
      </w:r>
    </w:p>
    <w:p>
      <w:pPr>
        <w:spacing w:after="40"/>
      </w:pPr>
      <w:r>
        <w:rPr>
          <w:rFonts w:ascii="Consolas" w:cs="Consolas" w:eastAsia="Consolas" w:hAnsi="Consolas"/>
          <w:color w:val="333333"/>
          <w:sz w:val="18"/>
          <w:szCs w:val="18"/>
        </w:rPr>
        <w:t xml:space="preserve">      └────────────┬─────────────┘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  Penggabungan → Pemeringkatan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  Sintesis Jawaban (LLM)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  PENJAGA SITASI                │</w:t>
      </w:r>
    </w:p>
    <w:p>
      <w:pPr>
        <w:spacing w:after="40"/>
      </w:pPr>
      <w:r>
        <w:rPr>
          <w:rFonts w:ascii="Consolas" w:cs="Consolas" w:eastAsia="Consolas" w:hAnsi="Consolas"/>
          <w:color w:val="333333"/>
          <w:sz w:val="18"/>
          <w:szCs w:val="18"/>
        </w:rPr>
        <w:t xml:space="preserve">                    │  tanpa sumber → jawaban ditolak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w:t>
      </w:r>
    </w:p>
    <w:p>
      <w:pPr>
        <w:spacing w:after="40"/>
      </w:pPr>
      <w:r>
        <w:rPr>
          <w:rFonts w:ascii="Consolas" w:cs="Consolas" w:eastAsia="Consolas" w:hAnsi="Consolas"/>
          <w:color w:val="333333"/>
          <w:sz w:val="18"/>
          <w:szCs w:val="18"/>
        </w:rPr>
        <w:t xml:space="preserve">         Jawaban + dasar hukum (pasal) + bukti riset (sitasi)</w:t>
      </w:r>
    </w:p>
    <w:p>
      <w:pPr>
        <w:spacing w:after="20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Aturan pemisahan lapis</w:t>
            </w:r>
          </w:p>
          <w:p>
            <w:pPr>
              <w:spacing w:after="60" w:line="276"/>
            </w:pPr>
            <w:r>
              <w:rPr>
                <w:rFonts w:ascii="Calibri" w:cs="Calibri" w:eastAsia="Calibri" w:hAnsi="Calibri"/>
                <w:sz w:val="22"/>
                <w:szCs w:val="22"/>
              </w:rPr>
              <w:t xml:space="preserve">Pernyataan bersifat mewajibkan ("wajib", "harus", "disyaratkan") hanya boleh bersumber dari lapis normatif. Pernyataan bersifat temuan hanya boleh bersumber dari naskah riset.</w:t>
            </w:r>
          </w:p>
          <w:p>
            <w:pPr>
              <w:spacing w:after="60" w:line="276"/>
            </w:pPr>
            <w:r>
              <w:rPr>
                <w:rFonts w:ascii="Calibri" w:cs="Calibri" w:eastAsia="Calibri" w:hAnsi="Calibri"/>
                <w:sz w:val="22"/>
                <w:szCs w:val="22"/>
              </w:rPr>
              <w:t xml:space="preserve">Setiap sitasi membawa penanda asal: rujukan langsung dari teks peraturan, atau kutipan yang ditemukan di dalam naskah. Kutipan tangan kedua tetap sah dipakai, namun wajib dinyatakan sebagai kutipan — tidak boleh tampil seolah sistem membaca peraturannya langsung.</w:t>
            </w:r>
          </w:p>
        </w:tc>
      </w:tr>
    </w:tbl>
    <w:p>
      <w:r>
        <w:br w:type="page"/>
      </w:r>
    </w:p>
    <w:p>
      <w:pPr>
        <w:pStyle w:val="Heading2"/>
        <w:spacing w:after="140" w:before="280"/>
      </w:pPr>
      <w:r>
        <w:rPr>
          <w:rFonts w:ascii="Calibri" w:cs="Calibri" w:eastAsia="Calibri" w:hAnsi="Calibri"/>
          <w:b/>
          <w:bCs/>
          <w:color w:val="1F4E79"/>
          <w:sz w:val="25"/>
          <w:szCs w:val="25"/>
        </w:rPr>
        <w:t xml:space="preserve">4.3 Komponen Cerdas (Agent)</w:t>
      </w:r>
    </w:p>
    <w:p>
      <w:pPr>
        <w:spacing w:after="120" w:line="276"/>
      </w:pPr>
      <w:r>
        <w:rPr>
          <w:rFonts w:ascii="Calibri" w:cs="Calibri" w:eastAsia="Calibri" w:hAnsi="Calibri"/>
          <w:sz w:val="22"/>
          <w:szCs w:val="22"/>
        </w:rPr>
        <w:t xml:space="preserve">Tidak seluruh komponen dijadikan agent berbasis model bahasa. Setiap agent menambah biaya, waktu tunggu, dan risiko halusinasi, sehingga komponen yang hasilnya harus dapat direproduksi sengaja dipertahankan sebagai fungsi deterministik.</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34"/>
        <w:gridCol w:w="2059"/>
        <w:gridCol w:w="4867"/>
      </w:tblGrid>
      <w:tr>
        <w:trPr>
          <w:tblHeader/>
        </w:trPr>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Komponen</w:t>
            </w:r>
          </w:p>
        </w:tc>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Jenis</w:t>
            </w:r>
          </w:p>
        </w:tc>
        <w:tc>
          <w:tcPr>
            <w:tcW w:type="dxa" w:w="4867"/>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Fungsi</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Penjaga Sitasi</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Agent (prioritas utama)</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Memastikan setiap klaim benar-benar didukung sumber yang dikutip</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Router Pertanyaan</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Agent ringan</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Menentukan pertanyaan bersifat normatif, empiris, atau campuran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Analis Gap</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Agent multi-langkah</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Menyusun matriks perbandingan dan draf analisis celah riset</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Klasifikator Scope</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Agent luring</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Memetakan naskah ke empat area Focus &amp; Scope</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Pencarian hibrida</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Deterministik</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Pencocokan semantik, kata kunci, dan jalur peraturan</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Pemanen rujukan</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Deterministik</w:t>
            </w:r>
          </w:p>
        </w:tc>
        <w:tc>
          <w:tcPr>
            <w:tcW w:type="dxa" w:w="486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Memungut nomor peraturan dari teks naskah</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Kurasi status peraturan</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Manual oleh admin</w:t>
            </w:r>
          </w:p>
        </w:tc>
        <w:tc>
          <w:tcPr>
            <w:tcW w:type="dxa" w:w="486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Penetapan status dan tautan resmi — tidak diotomatiskan</w:t>
            </w:r>
          </w:p>
        </w:tc>
      </w:tr>
    </w:tbl>
    <w:p>
      <w:pPr>
        <w:spacing w:after="120"/>
      </w:pPr>
    </w:p>
    <w:p>
      <w:pPr>
        <w:spacing w:after="120" w:line="276"/>
      </w:pPr>
      <w:r>
        <w:rPr>
          <w:rFonts w:ascii="Calibri" w:cs="Calibri" w:eastAsia="Calibri" w:hAnsi="Calibri"/>
          <w:i/>
          <w:iCs/>
          <w:sz w:val="22"/>
          <w:szCs w:val="22"/>
        </w:rPr>
        <w:t xml:space="preserve">Penetapan status suatu peraturan sebagai telah dicabut sengaja tidak diotomatiskan. Sistem hanya menyampaikan indikasi berbasis data, sedangkan penetapannya menjadi kewenangan kurator dan tercatat dalam log audit.</w:t>
      </w:r>
    </w:p>
    <w:p>
      <w:pPr>
        <w:spacing w:after="120"/>
      </w:pPr>
    </w:p>
    <w:p>
      <w:pPr>
        <w:pStyle w:val="Heading2"/>
        <w:spacing w:after="140" w:before="280"/>
      </w:pPr>
      <w:r>
        <w:rPr>
          <w:rFonts w:ascii="Calibri" w:cs="Calibri" w:eastAsia="Calibri" w:hAnsi="Calibri"/>
          <w:b/>
          <w:bCs/>
          <w:color w:val="1F4E79"/>
          <w:sz w:val="25"/>
          <w:szCs w:val="25"/>
        </w:rPr>
        <w:t xml:space="preserve">4.4 Teknologi yang Digunakan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059"/>
        <w:gridCol w:w="3744"/>
        <w:gridCol w:w="3557"/>
      </w:tblGrid>
      <w:tr>
        <w:trPr>
          <w:tblHeader/>
        </w:trPr>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Lapisan</w:t>
            </w:r>
          </w:p>
        </w:tc>
        <w:tc>
          <w:tcPr>
            <w:tcW w:type="dxa" w:w="3744"/>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Teknologi</w:t>
            </w:r>
          </w:p>
        </w:tc>
        <w:tc>
          <w:tcPr>
            <w:tcW w:type="dxa" w:w="3557"/>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Catatan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Antarmuka</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Next.js 16, React 19, Tailwind CSS</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Aplikasi web responsif</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Basis data</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SQLite dengan indeks pencarian teks penuh (FTS5)</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Satu berkas, mudah dicadangkan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Embedding</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Model ONNX berjalan lokal di server</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Tanpa pengiriman data ke pihak luar</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Model bahasa</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Google Gemini</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Hanya untuk penyusunan jawaban</w:t>
            </w:r>
          </w:p>
        </w:tc>
      </w:tr>
      <w:tr>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Sinkronisasi</w:t>
            </w:r>
          </w:p>
        </w:tc>
        <w:tc>
          <w:tcPr>
            <w:tcW w:type="dxa" w:w="374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Protokol OAI-PMH ke arsip resmi jurnal</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Penarikan terbitan baru otomatis</w:t>
            </w:r>
          </w:p>
        </w:tc>
      </w:tr>
      <w:tr>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Pengujian</w:t>
            </w:r>
          </w:p>
        </w:tc>
        <w:tc>
          <w:tcPr>
            <w:tcW w:type="dxa" w:w="374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Vitest — 61 pengujian otomatis</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Termasuk uji akurasi ujung-ke-ujung</w:t>
            </w:r>
          </w:p>
        </w:tc>
      </w:tr>
    </w:tbl>
    <w:p>
      <w:pPr>
        <w:spacing w:after="120"/>
      </w:pPr>
    </w:p>
    <w:p>
      <w:pPr>
        <w:spacing w:after="120" w:line="276"/>
      </w:pPr>
      <w:r>
        <w:rPr>
          <w:rFonts w:ascii="Calibri" w:cs="Calibri" w:eastAsia="Calibri" w:hAnsi="Calibri"/>
          <w:i/>
          <w:iCs/>
          <w:sz w:val="22"/>
          <w:szCs w:val="22"/>
        </w:rPr>
        <w:t xml:space="preserve">Proses pengolahan naskah dan pembentukan embedding berjalan sepenuhnya di server internal. Pengiriman ke layanan luar hanya terjadi pada tahap penyusunan kalimat jawaban.</w:t>
      </w:r>
    </w:p>
    <w:p>
      <w:r>
        <w:br w:type="page"/>
      </w:r>
    </w:p>
    <w:p>
      <w:pPr>
        <w:pStyle w:val="Heading1"/>
        <w:spacing w:after="140" w:before="280"/>
      </w:pPr>
      <w:r>
        <w:rPr>
          <w:rFonts w:ascii="Calibri" w:cs="Calibri" w:eastAsia="Calibri" w:hAnsi="Calibri"/>
          <w:b/>
          <w:bCs/>
          <w:color w:val="1F4E79"/>
          <w:sz w:val="30"/>
          <w:szCs w:val="30"/>
        </w:rPr>
        <w:t xml:space="preserve">5. Kebutuhan Sistem</w:t>
      </w:r>
    </w:p>
    <w:p>
      <w:pPr>
        <w:pStyle w:val="Heading2"/>
        <w:spacing w:after="140" w:before="280"/>
      </w:pPr>
      <w:r>
        <w:rPr>
          <w:rFonts w:ascii="Calibri" w:cs="Calibri" w:eastAsia="Calibri" w:hAnsi="Calibri"/>
          <w:b/>
          <w:bCs/>
          <w:color w:val="1F4E79"/>
          <w:sz w:val="25"/>
          <w:szCs w:val="25"/>
        </w:rPr>
        <w:t xml:space="preserve">5.1 Kebutuhan Fungsional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936"/>
        <w:gridCol w:w="6365"/>
        <w:gridCol w:w="2059"/>
      </w:tblGrid>
      <w:tr>
        <w:trPr>
          <w:tblHeader/>
        </w:trPr>
        <w:tc>
          <w:tcPr>
            <w:tcW w:type="dxa" w:w="93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Kode</w:t>
            </w:r>
          </w:p>
        </w:tc>
        <w:tc>
          <w:tcPr>
            <w:tcW w:type="dxa" w:w="6365"/>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Kebutuhan</w:t>
            </w:r>
          </w:p>
        </w:tc>
        <w:tc>
          <w:tcPr>
            <w:tcW w:type="dxa" w:w="2059"/>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Status</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F-01</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Pengunggahan dan ekstraksi naskah (PDF/DOCX)</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F-02</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Sinkronisasi otomatis terbitan baru dari arsip jurnal</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F-03</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Tanya jawab berbasis korpus dengan sitasi</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F-04</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Mode kajian — sintesis temuan lintas naskah</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F-05</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Penilaian kekuatan bukti</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F-06</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Jaminan tidak ada jawaban tanpa sumber</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F-07</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Indeks peraturan yang dirujuk korpus</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F-08</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Deteksi rujukan pada edisi standar yang lebih lama</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F-09</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Tautan ke sumber peraturan resmi (JDIH)</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F-10</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Manajemen pengguna, peran, dan log audit</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Selesai</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F-11</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Perbandingan temuan antar naskah</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F-12</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Analisis celah riset</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r>
        <w:tc>
          <w:tcPr>
            <w:tcW w:type="dxa" w:w="93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F-13</w:t>
            </w:r>
          </w:p>
        </w:tc>
        <w:tc>
          <w:tcPr>
            <w:tcW w:type="dxa" w:w="636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Pemeriksaan kesesuaian naskah dengan Focus &amp; Scope</w:t>
            </w:r>
          </w:p>
        </w:tc>
        <w:tc>
          <w:tcPr>
            <w:tcW w:type="dxa" w:w="205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r>
        <w:tc>
          <w:tcPr>
            <w:tcW w:type="dxa" w:w="93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F-14</w:t>
            </w:r>
          </w:p>
        </w:tc>
        <w:tc>
          <w:tcPr>
            <w:tcW w:type="dxa" w:w="636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Penelusuran teks asli peraturan sampai tingkat pasal</w:t>
            </w:r>
          </w:p>
        </w:tc>
        <w:tc>
          <w:tcPr>
            <w:tcW w:type="dxa" w:w="205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Direncanakan</w:t>
            </w:r>
          </w:p>
        </w:tc>
      </w:tr>
    </w:tbl>
    <w:p>
      <w:pPr>
        <w:spacing w:after="120"/>
      </w:pPr>
    </w:p>
    <w:p>
      <w:pPr>
        <w:pStyle w:val="Heading2"/>
        <w:spacing w:after="140" w:before="280"/>
      </w:pPr>
      <w:r>
        <w:rPr>
          <w:rFonts w:ascii="Calibri" w:cs="Calibri" w:eastAsia="Calibri" w:hAnsi="Calibri"/>
          <w:b/>
          <w:bCs/>
          <w:color w:val="1F4E79"/>
          <w:sz w:val="25"/>
          <w:szCs w:val="25"/>
        </w:rPr>
        <w:t xml:space="preserve">5.2 Kebutuhan Non-Fungsional</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46"/>
        <w:gridCol w:w="7114"/>
      </w:tblGrid>
      <w:tr>
        <w:trPr>
          <w:tblHeader/>
        </w:trPr>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Aspek</w:t>
            </w:r>
          </w:p>
        </w:tc>
        <w:tc>
          <w:tcPr>
            <w:tcW w:type="dxa" w:w="7114"/>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Ketentuan</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Ketertelusuran</w:t>
            </w:r>
          </w:p>
        </w:tc>
        <w:tc>
          <w:tcPr>
            <w:tcW w:type="dxa" w:w="711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Setiap jawaban wajib menyertakan sumber yang dapat dibuka pengguna</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Akurasi</w:t>
            </w:r>
          </w:p>
        </w:tc>
        <w:tc>
          <w:tcPr>
            <w:tcW w:type="dxa" w:w="711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Jawaban tanpa sumber ditolak sistem, bukan ditampilkan dengan peringatan</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Keamanan</w:t>
            </w:r>
          </w:p>
        </w:tc>
        <w:tc>
          <w:tcPr>
            <w:tcW w:type="dxa" w:w="711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Autentikasi pengguna, pembedaan peran admin dan pengguna unit, log audit</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Kemandirian data</w:t>
            </w:r>
          </w:p>
        </w:tc>
        <w:tc>
          <w:tcPr>
            <w:tcW w:type="dxa" w:w="711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Pengolahan naskah dan embedding berjalan di server internal</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Kinerja</w:t>
            </w:r>
          </w:p>
        </w:tc>
        <w:tc>
          <w:tcPr>
            <w:tcW w:type="dxa" w:w="711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Jawaban tersaji dalam hitungan detik untuk korpus saat ini</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Keterukuran</w:t>
            </w:r>
          </w:p>
        </w:tc>
        <w:tc>
          <w:tcPr>
            <w:tcW w:type="dxa" w:w="711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Perbaikan diukur melalui kumpulan pertanyaan uji terverifikasi</w:t>
            </w:r>
          </w:p>
        </w:tc>
      </w:tr>
    </w:tbl>
    <w:p>
      <w:r>
        <w:br w:type="page"/>
      </w:r>
    </w:p>
    <w:p>
      <w:pPr>
        <w:pStyle w:val="Heading1"/>
        <w:spacing w:after="140" w:before="280"/>
      </w:pPr>
      <w:r>
        <w:rPr>
          <w:rFonts w:ascii="Calibri" w:cs="Calibri" w:eastAsia="Calibri" w:hAnsi="Calibri"/>
          <w:b/>
          <w:bCs/>
          <w:color w:val="1F4E79"/>
          <w:sz w:val="30"/>
          <w:szCs w:val="30"/>
        </w:rPr>
        <w:t xml:space="preserve">6. Roadmap Pengembangan</w:t>
      </w:r>
    </w:p>
    <w:p>
      <w:pPr>
        <w:spacing w:after="120" w:line="276"/>
      </w:pPr>
      <w:r>
        <w:rPr>
          <w:rFonts w:ascii="Calibri" w:cs="Calibri" w:eastAsia="Calibri" w:hAnsi="Calibri"/>
          <w:sz w:val="22"/>
          <w:szCs w:val="22"/>
        </w:rPr>
        <w:t xml:space="preserve">Pengembangan disusun dalam tahapan yang masing-masing memberikan manfaat yang dapat dirasakan, bukan tahapan teknis yang manfaatnya baru muncul di akhir.</w:t>
      </w:r>
    </w:p>
    <w:p>
      <w:pPr>
        <w:spacing w:after="120"/>
      </w:pPr>
    </w:p>
    <w:p>
      <w:pPr>
        <w:pStyle w:val="Heading2"/>
        <w:spacing w:after="140" w:before="280"/>
      </w:pPr>
      <w:r>
        <w:rPr>
          <w:rFonts w:ascii="Calibri" w:cs="Calibri" w:eastAsia="Calibri" w:hAnsi="Calibri"/>
          <w:b/>
          <w:bCs/>
          <w:color w:val="1F4E79"/>
          <w:sz w:val="25"/>
          <w:szCs w:val="25"/>
        </w:rPr>
        <w:t xml:space="preserve">6.1 Tahapan Pengembangan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310"/>
        <w:gridCol w:w="4025"/>
        <w:gridCol w:w="4025"/>
      </w:tblGrid>
      <w:tr>
        <w:trPr>
          <w:tblHeader/>
        </w:trPr>
        <w:tc>
          <w:tcPr>
            <w:tcW w:type="dxa" w:w="1310"/>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Tahap</w:t>
            </w:r>
          </w:p>
        </w:tc>
        <w:tc>
          <w:tcPr>
            <w:tcW w:type="dxa" w:w="4025"/>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Lingkup Pekerjaan</w:t>
            </w:r>
          </w:p>
        </w:tc>
        <w:tc>
          <w:tcPr>
            <w:tcW w:type="dxa" w:w="4025"/>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Hasil bagi Pengguna</w:t>
            </w:r>
          </w:p>
        </w:tc>
      </w:tr>
      <w:tr>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Tahap 1
Fondasi</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Jaminan sumber pada tingkat program; pemanenan rujukan peraturan dari naskah</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Jawaban dipastikan bersumber; pengguna mengetahui peraturan yang lazim dirujuk pada suatu topik</w:t>
            </w:r>
          </w:p>
        </w:tc>
      </w:tr>
      <w:tr>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Tahap 2
Analisis</w:t>
            </w:r>
          </w:p>
        </w:tc>
        <w:tc>
          <w:tcPr>
            <w:tcW w:type="dxa" w:w="402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Ekstraksi klaim terstruktur; pemanenan pernyataan celah riset; klasifikasi area Focus &amp; Scope</w:t>
            </w:r>
          </w:p>
        </w:tc>
        <w:tc>
          <w:tcPr>
            <w:tcW w:type="dxa" w:w="402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Perbandingan temuan antar naskah dan gambaran awal celah riset</w:t>
            </w:r>
          </w:p>
        </w:tc>
      </w:tr>
      <w:tr>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Tahap 3
Perluasan</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Perluasan korpus ke literatur luar; penggantian model pencarian semantik; indeks vektor</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Analisis celah yang layak dikutip dalam naskah ilmiah; pencarian lebih tepat sasaran</w:t>
            </w:r>
          </w:p>
        </w:tc>
      </w:tr>
      <w:tr>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Tahap 4
Normatif</w:t>
            </w:r>
          </w:p>
        </w:tc>
        <w:tc>
          <w:tcPr>
            <w:tcW w:type="dxa" w:w="402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Pengunggahan teks peraturan; penstrukturan sampai tingkat pasal; penandaan status berlaku</w:t>
            </w:r>
          </w:p>
        </w:tc>
        <w:tc>
          <w:tcPr>
            <w:tcW w:type="dxa" w:w="4025"/>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Sitasi peraturan sampai tingkat pasal dan peringatan atas aturan yang sudah dicabut</w:t>
            </w:r>
          </w:p>
        </w:tc>
      </w:tr>
      <w:tr>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Tahap 5
Layanan</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Fitur bagi pengelola jurnal; dokumen internal unit kerja</w:t>
            </w:r>
          </w:p>
        </w:tc>
        <w:tc>
          <w:tcPr>
            <w:tcW w:type="dxa" w:w="4025"/>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Dukungan proses redaksi dan kebutuhan unit kerja</w:t>
            </w:r>
          </w:p>
        </w:tc>
      </w:tr>
    </w:tbl>
    <w:p>
      <w:pPr>
        <w:spacing w:after="120"/>
      </w:pPr>
    </w:p>
    <w:p>
      <w:pPr>
        <w:spacing w:after="120" w:line="276"/>
      </w:pPr>
      <w:r>
        <w:rPr>
          <w:rFonts w:ascii="Calibri" w:cs="Calibri" w:eastAsia="Calibri" w:hAnsi="Calibri"/>
          <w:i/>
          <w:iCs/>
          <w:sz w:val="22"/>
          <w:szCs w:val="22"/>
        </w:rPr>
        <w:t xml:space="preserve">Tahap 1 telah diselesaikan pada saat dokumen ini disusun. Rinciannya disajikan pada Bab 7.</w:t>
      </w:r>
    </w:p>
    <w:p>
      <w:r>
        <w:br w:type="page"/>
      </w:r>
    </w:p>
    <w:p>
      <w:pPr>
        <w:pStyle w:val="Heading2"/>
        <w:spacing w:after="140" w:before="280"/>
      </w:pPr>
      <w:r>
        <w:rPr>
          <w:rFonts w:ascii="Calibri" w:cs="Calibri" w:eastAsia="Calibri" w:hAnsi="Calibri"/>
          <w:b/>
          <w:bCs/>
          <w:color w:val="1F4E79"/>
          <w:sz w:val="25"/>
          <w:szCs w:val="25"/>
        </w:rPr>
        <w:t xml:space="preserve">6.2 Urutan Prioritas Pelaksanaan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1498"/>
        <w:gridCol w:w="4306"/>
        <w:gridCol w:w="3556"/>
      </w:tblGrid>
      <w:tr>
        <w:trPr>
          <w:tblHeader/>
        </w:trPr>
        <w:tc>
          <w:tcPr>
            <w:tcW w:type="dxa" w:w="1498"/>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Prioritas</w:t>
            </w:r>
          </w:p>
        </w:tc>
        <w:tc>
          <w:tcPr>
            <w:tcW w:type="dxa" w:w="430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Pekerjaan</w:t>
            </w:r>
          </w:p>
        </w:tc>
        <w:tc>
          <w:tcPr>
            <w:tcW w:type="dxa" w:w="355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Pertimbangan</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P0 — selesai</w:t>
            </w:r>
          </w:p>
        </w:tc>
        <w:tc>
          <w:tcPr>
            <w:tcW w:type="dxa" w:w="430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Jaminan sumber pada tingkat program</w:t>
            </w:r>
          </w:p>
        </w:tc>
        <w:tc>
          <w:tcPr>
            <w:tcW w:type="dxa" w:w="355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Syarat mutlak, melayani seluruh peran</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P0 — selesai</w:t>
            </w:r>
          </w:p>
        </w:tc>
        <w:tc>
          <w:tcPr>
            <w:tcW w:type="dxa" w:w="430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Indeks rujukan peraturan dari naskah</w:t>
            </w:r>
          </w:p>
        </w:tc>
        <w:tc>
          <w:tcPr>
            <w:tcW w:type="dxa" w:w="355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Bahan baku sudah tersedia di korpus</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P1</w:t>
            </w:r>
          </w:p>
        </w:tc>
        <w:tc>
          <w:tcPr>
            <w:tcW w:type="dxa" w:w="430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Pemanenan pernyataan celah riset dari naskah</w:t>
            </w:r>
          </w:p>
        </w:tc>
        <w:tc>
          <w:tcPr>
            <w:tcW w:type="dxa" w:w="355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Hasil tercepat menuju tujuan sistem</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P1</w:t>
            </w:r>
          </w:p>
        </w:tc>
        <w:tc>
          <w:tcPr>
            <w:tcW w:type="dxa" w:w="430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Ekstraksi klaim terstruktur seluruh korpus</w:t>
            </w:r>
          </w:p>
        </w:tc>
        <w:tc>
          <w:tcPr>
            <w:tcW w:type="dxa" w:w="355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Fondasi seluruh kemampuan perbandingan</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P1</w:t>
            </w:r>
          </w:p>
        </w:tc>
        <w:tc>
          <w:tcPr>
            <w:tcW w:type="dxa" w:w="430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Klasifikasi area Focus &amp; Scope</w:t>
            </w:r>
          </w:p>
        </w:tc>
        <w:tc>
          <w:tcPr>
            <w:tcW w:type="dxa" w:w="355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Pengelompokan topik untuk perbandingan</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P2</w:t>
            </w:r>
          </w:p>
        </w:tc>
        <w:tc>
          <w:tcPr>
            <w:tcW w:type="dxa" w:w="430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Analisis celah riset dan agent pendukungnya</w:t>
            </w:r>
          </w:p>
        </w:tc>
        <w:tc>
          <w:tcPr>
            <w:tcW w:type="dxa" w:w="355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Kemampuan andalan bagi peneliti</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P2</w:t>
            </w:r>
          </w:p>
        </w:tc>
        <w:tc>
          <w:tcPr>
            <w:tcW w:type="dxa" w:w="430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Perluasan korpus ke literatur luar</w:t>
            </w:r>
          </w:p>
        </w:tc>
        <w:tc>
          <w:tcPr>
            <w:tcW w:type="dxa" w:w="355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Syarat agar klaim celah layak dikutip</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P2</w:t>
            </w:r>
          </w:p>
        </w:tc>
        <w:tc>
          <w:tcPr>
            <w:tcW w:type="dxa" w:w="430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Indeks vektor dan kumpulan pertanyaan uji</w:t>
            </w:r>
          </w:p>
        </w:tc>
        <w:tc>
          <w:tcPr>
            <w:tcW w:type="dxa" w:w="355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Menjaga kinerja saat korpus membesar</w:t>
            </w:r>
          </w:p>
        </w:tc>
      </w:tr>
      <w:tr>
        <w:tc>
          <w:tcPr>
            <w:tcW w:type="dxa" w:w="149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P3</w:t>
            </w:r>
          </w:p>
        </w:tc>
        <w:tc>
          <w:tcPr>
            <w:tcW w:type="dxa" w:w="430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Pengunggahan teks peraturan sampai tingkat pasal</w:t>
            </w:r>
          </w:p>
        </w:tc>
        <w:tc>
          <w:tcPr>
            <w:tcW w:type="dxa" w:w="355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Menaikkan mutu sitasi normatif</w:t>
            </w:r>
          </w:p>
        </w:tc>
      </w:tr>
      <w:tr>
        <w:tc>
          <w:tcPr>
            <w:tcW w:type="dxa" w:w="149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P4</w:t>
            </w:r>
          </w:p>
        </w:tc>
        <w:tc>
          <w:tcPr>
            <w:tcW w:type="dxa" w:w="430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Fitur pengelola jurnal dan dokumen internal</w:t>
            </w:r>
          </w:p>
        </w:tc>
        <w:tc>
          <w:tcPr>
            <w:tcW w:type="dxa" w:w="355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Peran sekunder menurut tujuan sistem</w:t>
            </w:r>
          </w:p>
        </w:tc>
      </w:tr>
    </w:tbl>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Konsekuensi penting dari penetapan tujuan</w:t>
            </w:r>
          </w:p>
          <w:p>
            <w:pPr>
              <w:spacing w:after="60" w:line="276"/>
            </w:pPr>
            <w:r>
              <w:rPr>
                <w:rFonts w:ascii="Calibri" w:cs="Calibri" w:eastAsia="Calibri" w:hAnsi="Calibri"/>
                <w:sz w:val="22"/>
                <w:szCs w:val="22"/>
              </w:rPr>
              <w:t xml:space="preserve">Karena kemampuan andalan sistem adalah analisis celah riset bagi peneliti, keterbatasan korpus satu jurnal berubah menjadi kendala utama. Peneliti tidak dapat menyatakan adanya celah riset hanya berdasarkan 210 naskah dari satu jurnal.</w:t>
            </w:r>
          </w:p>
          <w:p>
            <w:pPr>
              <w:spacing w:after="60" w:line="276"/>
            </w:pPr>
            <w:r>
              <w:rPr>
                <w:rFonts w:ascii="Calibri" w:cs="Calibri" w:eastAsia="Calibri" w:hAnsi="Calibri"/>
                <w:sz w:val="22"/>
                <w:szCs w:val="22"/>
              </w:rPr>
              <w:t xml:space="preserve">Karena itu perluasan korpus ke literatur luar bukan penyempurnaan tambahan, melainkan syarat agar keluaran sistem layak digunakan dalam naskah ilmiah.</w:t>
            </w:r>
          </w:p>
        </w:tc>
      </w:tr>
    </w:tbl>
    <w:p>
      <w:r>
        <w:br w:type="page"/>
      </w:r>
    </w:p>
    <w:p>
      <w:pPr>
        <w:pStyle w:val="Heading1"/>
        <w:spacing w:after="140" w:before="280"/>
      </w:pPr>
      <w:r>
        <w:rPr>
          <w:rFonts w:ascii="Calibri" w:cs="Calibri" w:eastAsia="Calibri" w:hAnsi="Calibri"/>
          <w:b/>
          <w:bCs/>
          <w:color w:val="1F4E79"/>
          <w:sz w:val="30"/>
          <w:szCs w:val="30"/>
        </w:rPr>
        <w:t xml:space="preserve">7. Capaian Pelaksanaan Tahap 1</w:t>
      </w:r>
    </w:p>
    <w:p>
      <w:pPr>
        <w:pStyle w:val="Heading2"/>
        <w:spacing w:after="140" w:before="280"/>
      </w:pPr>
      <w:r>
        <w:rPr>
          <w:rFonts w:ascii="Calibri" w:cs="Calibri" w:eastAsia="Calibri" w:hAnsi="Calibri"/>
          <w:b/>
          <w:bCs/>
          <w:color w:val="1F4E79"/>
          <w:sz w:val="25"/>
          <w:szCs w:val="25"/>
        </w:rPr>
        <w:t xml:space="preserve">7.1 Jaminan Ketertelusuran Sumber</w:t>
      </w:r>
    </w:p>
    <w:p>
      <w:pPr>
        <w:spacing w:after="120" w:line="276"/>
      </w:pPr>
      <w:r>
        <w:rPr>
          <w:rFonts w:ascii="Calibri" w:cs="Calibri" w:eastAsia="Calibri" w:hAnsi="Calibri"/>
          <w:sz w:val="22"/>
          <w:szCs w:val="22"/>
        </w:rPr>
        <w:t xml:space="preserve">Sebelumnya, ketentuan "setiap jawaban harus bersumber" hanya disampaikan sebagai instruksi kepada model bahasa, sehingga bergantung pada kepatuhan model. Ketentuan tersebut kini ditegakkan pada tingkat program: nomor sitasi yang tidak menunjuk sumber mana pun digugurkan, dan jawaban yang tidak memiliki sumber pendukung diganti pernyataan baku bahwa informasi tidak ditemukan.</w:t>
      </w:r>
    </w:p>
    <w:p>
      <w:pPr>
        <w:spacing w:after="120"/>
      </w:pPr>
    </w:p>
    <w:p>
      <w:pPr>
        <w:pStyle w:val="Heading2"/>
        <w:spacing w:after="140" w:before="280"/>
      </w:pPr>
      <w:r>
        <w:rPr>
          <w:rFonts w:ascii="Calibri" w:cs="Calibri" w:eastAsia="Calibri" w:hAnsi="Calibri"/>
          <w:b/>
          <w:bCs/>
          <w:color w:val="1F4E79"/>
          <w:sz w:val="25"/>
          <w:szCs w:val="25"/>
        </w:rPr>
        <w:t xml:space="preserve">7.2 Indeks Rujukan Peraturan</w:t>
      </w:r>
    </w:p>
    <w:p>
      <w:pPr>
        <w:spacing w:after="120" w:line="276"/>
      </w:pPr>
      <w:r>
        <w:rPr>
          <w:rFonts w:ascii="Calibri" w:cs="Calibri" w:eastAsia="Calibri" w:hAnsi="Calibri"/>
          <w:sz w:val="22"/>
          <w:szCs w:val="22"/>
        </w:rPr>
        <w:t xml:space="preserve">Sistem memanen penyebutan peraturan dari teks naskah yang sudah ada, tanpa memerlukan pengunggahan dokumen peraturan terlebih dahulu. Pemanenan menggunakan pencocokan pola, bukan model bahasa, karena nomor peraturan merupakan data yang harus tepat.</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5803"/>
        <w:gridCol w:w="3557"/>
      </w:tblGrid>
      <w:tr>
        <w:trPr>
          <w:tblHeader/>
        </w:trPr>
        <w:tc>
          <w:tcPr>
            <w:tcW w:type="dxa" w:w="5803"/>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Jenis Peraturan</w:t>
            </w:r>
          </w:p>
        </w:tc>
        <w:tc>
          <w:tcPr>
            <w:tcW w:type="dxa" w:w="3557"/>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Jumlah Nomor Berbeda</w:t>
            </w:r>
          </w:p>
        </w:tc>
      </w:tr>
      <w:tr>
        <w:tc>
          <w:tcPr>
            <w:tcW w:type="dxa" w:w="5803"/>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Standar Nasional Indonesia (SNI)</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110</w:t>
            </w:r>
          </w:p>
        </w:tc>
      </w:tr>
      <w:tr>
        <w:tc>
          <w:tcPr>
            <w:tcW w:type="dxa" w:w="5803"/>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Peraturan Menteri</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46</w:t>
            </w:r>
          </w:p>
        </w:tc>
      </w:tr>
      <w:tr>
        <w:tc>
          <w:tcPr>
            <w:tcW w:type="dxa" w:w="5803"/>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Undang-Undang</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37</w:t>
            </w:r>
          </w:p>
        </w:tc>
      </w:tr>
      <w:tr>
        <w:tc>
          <w:tcPr>
            <w:tcW w:type="dxa" w:w="5803"/>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Peraturan Pemerintah</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30</w:t>
            </w:r>
          </w:p>
        </w:tc>
      </w:tr>
      <w:tr>
        <w:tc>
          <w:tcPr>
            <w:tcW w:type="dxa" w:w="5803"/>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Peraturan Presiden</w:t>
            </w:r>
          </w:p>
        </w:tc>
        <w:tc>
          <w:tcPr>
            <w:tcW w:type="dxa" w:w="3557"/>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2</w:t>
            </w:r>
          </w:p>
        </w:tc>
      </w:tr>
      <w:tr>
        <w:tc>
          <w:tcPr>
            <w:tcW w:type="dxa" w:w="5803"/>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Jumlah</w:t>
            </w:r>
          </w:p>
        </w:tc>
        <w:tc>
          <w:tcPr>
            <w:tcW w:type="dxa" w:w="3557"/>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225 nomor dari 786 penyebutan</w:t>
            </w:r>
          </w:p>
        </w:tc>
      </w:tr>
    </w:tbl>
    <w:p>
      <w:pPr>
        <w:spacing w:after="120"/>
      </w:pPr>
    </w:p>
    <w:p>
      <w:pPr>
        <w:pStyle w:val="Heading2"/>
        <w:spacing w:after="140" w:before="280"/>
      </w:pPr>
      <w:r>
        <w:rPr>
          <w:rFonts w:ascii="Calibri" w:cs="Calibri" w:eastAsia="Calibri" w:hAnsi="Calibri"/>
          <w:b/>
          <w:bCs/>
          <w:color w:val="1F4E79"/>
          <w:sz w:val="25"/>
          <w:szCs w:val="25"/>
        </w:rPr>
        <w:t xml:space="preserve">7.3 Deteksi Rujukan Edisi Lama</w:t>
      </w:r>
    </w:p>
    <w:p>
      <w:pPr>
        <w:spacing w:after="120" w:line="276"/>
      </w:pPr>
      <w:r>
        <w:rPr>
          <w:rFonts w:ascii="Calibri" w:cs="Calibri" w:eastAsia="Calibri" w:hAnsi="Calibri"/>
          <w:sz w:val="22"/>
          <w:szCs w:val="22"/>
        </w:rPr>
        <w:t xml:space="preserve">Sistem mengenali beberapa edisi dari standar yang sama sebagai satu standar, sehingga dapat menunjukkan naskah yang merujuk edisi lebih lama padahal korpus telah memuat edisi yang lebih baru. Terdapat 37 temuan, antara lain:</w:t>
      </w:r>
    </w:p>
    <w:p>
      <w:pPr>
        <w:spacing w:after="40"/>
      </w:pPr>
      <w:r>
        <w:rPr>
          <w:rFonts w:ascii="Consolas" w:cs="Consolas" w:eastAsia="Consolas" w:hAnsi="Consolas"/>
          <w:color w:val="333333"/>
          <w:sz w:val="18"/>
          <w:szCs w:val="18"/>
        </w:rPr>
        <w:t xml:space="preserve">   SNI 03-6197-2000   →  tersedia SNI 6197:2020</w:t>
      </w:r>
    </w:p>
    <w:p>
      <w:pPr>
        <w:spacing w:after="40"/>
      </w:pPr>
      <w:r>
        <w:rPr>
          <w:rFonts w:ascii="Consolas" w:cs="Consolas" w:eastAsia="Consolas" w:hAnsi="Consolas"/>
          <w:color w:val="333333"/>
          <w:sz w:val="18"/>
          <w:szCs w:val="18"/>
        </w:rPr>
        <w:t xml:space="preserve">   SNI 6389:2011      →  tersedia SNI 6389:2020</w:t>
      </w:r>
    </w:p>
    <w:p>
      <w:pPr>
        <w:spacing w:after="40"/>
      </w:pPr>
      <w:r>
        <w:rPr>
          <w:rFonts w:ascii="Consolas" w:cs="Consolas" w:eastAsia="Consolas" w:hAnsi="Consolas"/>
          <w:color w:val="333333"/>
          <w:sz w:val="18"/>
          <w:szCs w:val="18"/>
        </w:rPr>
        <w:t xml:space="preserve">   SNI 2847:2013      →  tersedia SNI 2847:2019</w:t>
      </w:r>
    </w:p>
    <w:p>
      <w:pPr>
        <w:spacing w:after="120"/>
      </w:pPr>
    </w:p>
    <w:p>
      <w:pPr>
        <w:spacing w:after="120" w:line="276"/>
      </w:pPr>
      <w:r>
        <w:rPr>
          <w:rFonts w:ascii="Calibri" w:cs="Calibri" w:eastAsia="Calibri" w:hAnsi="Calibri"/>
          <w:i/>
          <w:iCs/>
          <w:sz w:val="22"/>
          <w:szCs w:val="22"/>
        </w:rPr>
        <w:t xml:space="preserve">Deteksi ini murni berbasis korpus dan tidak menyatakan bahwa edisi lama telah dicabut. Sistem belum memiliki data status resmi, sehingga penetapannya tetap memerlukan pemeriksaan kurator.</w:t>
      </w:r>
    </w:p>
    <w:p>
      <w:pPr>
        <w:spacing w:after="120"/>
      </w:pPr>
    </w:p>
    <w:p>
      <w:pPr>
        <w:pStyle w:val="Heading2"/>
        <w:spacing w:after="140" w:before="280"/>
      </w:pPr>
      <w:r>
        <w:rPr>
          <w:rFonts w:ascii="Calibri" w:cs="Calibri" w:eastAsia="Calibri" w:hAnsi="Calibri"/>
          <w:b/>
          <w:bCs/>
          <w:color w:val="1F4E79"/>
          <w:sz w:val="25"/>
          <w:szCs w:val="25"/>
        </w:rPr>
        <w:t xml:space="preserve">7.4 Tautan ke Sumber Peraturan Resmi</w:t>
      </w:r>
    </w:p>
    <w:p>
      <w:pPr>
        <w:spacing w:after="120" w:line="276"/>
      </w:pPr>
      <w:r>
        <w:rPr>
          <w:rFonts w:ascii="Calibri" w:cs="Calibri" w:eastAsia="Calibri" w:hAnsi="Calibri"/>
          <w:sz w:val="22"/>
          <w:szCs w:val="22"/>
        </w:rPr>
        <w:t xml:space="preserve">Setiap peraturan dapat ditautkan ke sumber resminya pada basis data JDIH. Tautan ditetapkan kurator secara manual dan divalidasi terhadap daftar tertutup situs resmi, karena tautan ini tampil kepada peneliti sebagai rujukan otoritatif dan tidak boleh dapat diarahkan ke situs lain.</w:t>
      </w:r>
    </w:p>
    <w:p>
      <w:r>
        <w:br w:type="page"/>
      </w:r>
    </w:p>
    <w:p>
      <w:pPr>
        <w:pStyle w:val="Heading1"/>
        <w:spacing w:after="140" w:before="280"/>
      </w:pPr>
      <w:r>
        <w:rPr>
          <w:rFonts w:ascii="Calibri" w:cs="Calibri" w:eastAsia="Calibri" w:hAnsi="Calibri"/>
          <w:b/>
          <w:bCs/>
          <w:color w:val="1F4E79"/>
          <w:sz w:val="30"/>
          <w:szCs w:val="30"/>
        </w:rPr>
        <w:t xml:space="preserve">8. Pengujian dan Jaminan Mutu</w:t>
      </w:r>
    </w:p>
    <w:p>
      <w:pPr>
        <w:spacing w:after="120" w:line="276"/>
      </w:pPr>
      <w:r>
        <w:rPr>
          <w:rFonts w:ascii="Calibri" w:cs="Calibri" w:eastAsia="Calibri" w:hAnsi="Calibri"/>
          <w:sz w:val="22"/>
          <w:szCs w:val="22"/>
        </w:rPr>
        <w:t xml:space="preserve">Sistem dilengkapi 61 pengujian otomatis yang dijalankan setiap kali terjadi perubahan, mencakup pengujian terhadap korpus produksi yang sesungguhnya.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621"/>
        <w:gridCol w:w="6739"/>
      </w:tblGrid>
      <w:tr>
        <w:trPr>
          <w:tblHeader/>
        </w:trPr>
        <w:tc>
          <w:tcPr>
            <w:tcW w:type="dxa" w:w="2621"/>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Jenis Pengujian</w:t>
            </w:r>
          </w:p>
        </w:tc>
        <w:tc>
          <w:tcPr>
            <w:tcW w:type="dxa" w:w="6739"/>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Cakupan</w:t>
            </w:r>
          </w:p>
        </w:tc>
      </w:tr>
      <w:tr>
        <w:tc>
          <w:tcPr>
            <w:tcW w:type="dxa" w:w="2621"/>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Ketepatan pencarian</w:t>
            </w:r>
          </w:p>
        </w:tc>
        <w:tc>
          <w:tcPr>
            <w:tcW w:type="dxa" w:w="673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Naskah yang benar harus ditemukan untuk pertanyaan uji terverifikasi</w:t>
            </w:r>
          </w:p>
        </w:tc>
      </w:tr>
      <w:tr>
        <w:tc>
          <w:tcPr>
            <w:tcW w:type="dxa" w:w="2621"/>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Anti-halusinasi</w:t>
            </w:r>
          </w:p>
        </w:tc>
        <w:tc>
          <w:tcPr>
            <w:tcW w:type="dxa" w:w="673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Pertanyaan di luar cakupan korpus harus dijawab "tidak ditemukan"</w:t>
            </w:r>
          </w:p>
        </w:tc>
      </w:tr>
      <w:tr>
        <w:tc>
          <w:tcPr>
            <w:tcW w:type="dxa" w:w="2621"/>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Ketertelusuran sitasi</w:t>
            </w:r>
          </w:p>
        </w:tc>
        <w:tc>
          <w:tcPr>
            <w:tcW w:type="dxa" w:w="673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Nomor sitasi di luar rentang sumber harus digugurkan</w:t>
            </w:r>
          </w:p>
        </w:tc>
      </w:tr>
      <w:tr>
        <w:tc>
          <w:tcPr>
            <w:tcW w:type="dxa" w:w="2621"/>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Pemanenan rujukan</w:t>
            </w:r>
          </w:p>
        </w:tc>
        <w:tc>
          <w:tcPr>
            <w:tcW w:type="dxa" w:w="673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Nomor peraturan harus terpungut tepat; penyebutan tanpa nomor diabaikan</w:t>
            </w:r>
          </w:p>
        </w:tc>
      </w:tr>
      <w:tr>
        <w:tc>
          <w:tcPr>
            <w:tcW w:type="dxa" w:w="2621"/>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Validasi tautan</w:t>
            </w:r>
          </w:p>
        </w:tc>
        <w:tc>
          <w:tcPr>
            <w:tcW w:type="dxa" w:w="6739"/>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Hanya situs JDIH resmi melalui https yang boleh disimpan</w:t>
            </w:r>
          </w:p>
        </w:tc>
      </w:tr>
      <w:tr>
        <w:tc>
          <w:tcPr>
            <w:tcW w:type="dxa" w:w="2621"/>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Akurasi ujung-ke-ujung</w:t>
            </w:r>
          </w:p>
        </w:tc>
        <w:tc>
          <w:tcPr>
            <w:tcW w:type="dxa" w:w="6739"/>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Pemanggilan model bahasa yang sesungguhnya atas korpus produksi</w:t>
            </w:r>
          </w:p>
        </w:tc>
      </w:tr>
    </w:tbl>
    <w:p>
      <w:pPr>
        <w:spacing w:after="120"/>
      </w:pPr>
    </w:p>
    <w:p>
      <w:pPr>
        <w:spacing w:after="120" w:line="276"/>
      </w:pPr>
      <w:r>
        <w:rPr>
          <w:rFonts w:ascii="Calibri" w:cs="Calibri" w:eastAsia="Calibri" w:hAnsi="Calibri"/>
          <w:sz w:val="22"/>
          <w:szCs w:val="22"/>
        </w:rPr>
        <w:t xml:space="preserve">Rencana lanjutan mencakup penyusunan kumpulan pertanyaan uji terverifikasi yang merata pada empat area Focus &amp; Scope, sehingga setiap perbaikan sistem dapat diukur, bukan sekadar dirasakan.</w:t>
      </w:r>
    </w:p>
    <w:p>
      <w:pPr>
        <w:spacing w:after="200"/>
      </w:pPr>
    </w:p>
    <w:p>
      <w:pPr>
        <w:pStyle w:val="Heading1"/>
        <w:spacing w:after="140" w:before="280"/>
      </w:pPr>
      <w:r>
        <w:rPr>
          <w:rFonts w:ascii="Calibri" w:cs="Calibri" w:eastAsia="Calibri" w:hAnsi="Calibri"/>
          <w:b/>
          <w:bCs/>
          <w:color w:val="1F4E79"/>
          <w:sz w:val="30"/>
          <w:szCs w:val="30"/>
        </w:rPr>
        <w:t xml:space="preserve">9. Risiko dan Mitigasi</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182"/>
        <w:gridCol w:w="1310"/>
        <w:gridCol w:w="4868"/>
      </w:tblGrid>
      <w:tr>
        <w:trPr>
          <w:tblHeader/>
        </w:trPr>
        <w:tc>
          <w:tcPr>
            <w:tcW w:type="dxa" w:w="3182"/>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Risiko</w:t>
            </w:r>
          </w:p>
        </w:tc>
        <w:tc>
          <w:tcPr>
            <w:tcW w:type="dxa" w:w="1310"/>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Dampak</w:t>
            </w:r>
          </w:p>
        </w:tc>
        <w:tc>
          <w:tcPr>
            <w:tcW w:type="dxa" w:w="4868"/>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Mitigasi</w:t>
            </w:r>
          </w:p>
        </w:tc>
      </w:tr>
      <w:tr>
        <w:tc>
          <w:tcPr>
            <w:tcW w:type="dxa" w:w="318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Jawaban tanpa sumber</w:t>
            </w:r>
          </w:p>
        </w:tc>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Tinggi</w:t>
            </w:r>
          </w:p>
        </w:tc>
        <w:tc>
          <w:tcPr>
            <w:tcW w:type="dxa" w:w="486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Penolakan pada tingkat program, bukan sekadar instruksi kepada model</w:t>
            </w:r>
          </w:p>
        </w:tc>
      </w:tr>
      <w:tr>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Pengarangan nomor pasal</w:t>
            </w:r>
          </w:p>
        </w:tc>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Tinggi</w:t>
            </w:r>
          </w:p>
        </w:tc>
        <w:tc>
          <w:tcPr>
            <w:tcW w:type="dxa" w:w="486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Pemanenan berbasis pola; verifikasi nomor terhadap struktur dokumen</w:t>
            </w:r>
          </w:p>
        </w:tc>
      </w:tr>
      <w:tr>
        <w:tc>
          <w:tcPr>
            <w:tcW w:type="dxa" w:w="318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Perujukan aturan yang telah dicabut</w:t>
            </w:r>
          </w:p>
        </w:tc>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Tinggi</w:t>
            </w:r>
          </w:p>
        </w:tc>
        <w:tc>
          <w:tcPr>
            <w:tcW w:type="dxa" w:w="486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Deteksi antar-edisi berbasis korpus; penandaan status oleh kurator</w:t>
            </w:r>
          </w:p>
        </w:tc>
      </w:tr>
      <w:tr>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Klaim celah riset yang berlebihan</w:t>
            </w:r>
          </w:p>
        </w:tc>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Sedang</w:t>
            </w:r>
          </w:p>
        </w:tc>
        <w:tc>
          <w:tcPr>
            <w:tcW w:type="dxa" w:w="486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Setiap keluaran wajib menyatakan batas cakupan korpusnya</w:t>
            </w:r>
          </w:p>
        </w:tc>
      </w:tr>
      <w:tr>
        <w:tc>
          <w:tcPr>
            <w:tcW w:type="dxa" w:w="318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Kutipan tangan kedua tampak sebagai sitasi langsung</w:t>
            </w:r>
          </w:p>
        </w:tc>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Sedang</w:t>
            </w:r>
          </w:p>
        </w:tc>
        <w:tc>
          <w:tcPr>
            <w:tcW w:type="dxa" w:w="486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Penanda asal sitasi wajib tampil pada teks jawaban</w:t>
            </w:r>
          </w:p>
        </w:tc>
      </w:tr>
      <w:tr>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Ketergantungan pada layanan model luar</w:t>
            </w:r>
          </w:p>
        </w:tc>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Sedang</w:t>
            </w:r>
          </w:p>
        </w:tc>
        <w:tc>
          <w:tcPr>
            <w:tcW w:type="dxa" w:w="486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Pengolahan naskah dan embedding tetap di server internal</w:t>
            </w:r>
          </w:p>
        </w:tc>
      </w:tr>
      <w:tr>
        <w:tc>
          <w:tcPr>
            <w:tcW w:type="dxa" w:w="3182"/>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Ketentuan lisensi dokumen SNI</w:t>
            </w:r>
          </w:p>
        </w:tc>
        <w:tc>
          <w:tcPr>
            <w:tcW w:type="dxa" w:w="1310"/>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Sedang</w:t>
            </w:r>
          </w:p>
        </w:tc>
        <w:tc>
          <w:tcPr>
            <w:tcW w:type="dxa" w:w="4868"/>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Pembatasan akses; penyimpanan metadata saja bila tidak berlisensi</w:t>
            </w:r>
          </w:p>
        </w:tc>
      </w:tr>
      <w:tr>
        <w:tc>
          <w:tcPr>
            <w:tcW w:type="dxa" w:w="3182"/>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Korpus peraturan tidak terawat</w:t>
            </w:r>
          </w:p>
        </w:tc>
        <w:tc>
          <w:tcPr>
            <w:tcW w:type="dxa" w:w="1310"/>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Sedang</w:t>
            </w:r>
          </w:p>
        </w:tc>
        <w:tc>
          <w:tcPr>
            <w:tcW w:type="dxa" w:w="4868"/>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Penanggung jawab kurasi dan peninjauan berkala</w:t>
            </w:r>
          </w:p>
        </w:tc>
      </w:tr>
    </w:tbl>
    <w:p>
      <w:r>
        <w:br w:type="page"/>
      </w:r>
    </w:p>
    <w:p>
      <w:pPr>
        <w:pStyle w:val="Heading1"/>
        <w:spacing w:after="140" w:before="280"/>
      </w:pPr>
      <w:r>
        <w:rPr>
          <w:rFonts w:ascii="Calibri" w:cs="Calibri" w:eastAsia="Calibri" w:hAnsi="Calibri"/>
          <w:b/>
          <w:bCs/>
          <w:color w:val="1F4E79"/>
          <w:sz w:val="30"/>
          <w:szCs w:val="30"/>
        </w:rPr>
        <w:t xml:space="preserve">10. Tata Kelola dan Keamanan</w:t>
      </w:r>
    </w:p>
    <w:p>
      <w:pPr>
        <w:pStyle w:val="Heading2"/>
        <w:spacing w:after="140" w:before="280"/>
      </w:pPr>
      <w:r>
        <w:rPr>
          <w:rFonts w:ascii="Calibri" w:cs="Calibri" w:eastAsia="Calibri" w:hAnsi="Calibri"/>
          <w:b/>
          <w:bCs/>
          <w:color w:val="1F4E79"/>
          <w:sz w:val="25"/>
          <w:szCs w:val="25"/>
        </w:rPr>
        <w:t xml:space="preserve">10.1 Pembagian Peran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246"/>
        <w:gridCol w:w="7114"/>
      </w:tblGrid>
      <w:tr>
        <w:trPr>
          <w:tblHeader/>
        </w:trPr>
        <w:tc>
          <w:tcPr>
            <w:tcW w:type="dxa" w:w="224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Peran</w:t>
            </w:r>
          </w:p>
        </w:tc>
        <w:tc>
          <w:tcPr>
            <w:tcW w:type="dxa" w:w="7114"/>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Kewenangan</w:t>
            </w:r>
          </w:p>
        </w:tc>
      </w:tr>
      <w:tr>
        <w:tc>
          <w:tcPr>
            <w:tcW w:type="dxa" w:w="224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Administrator</w:t>
            </w:r>
          </w:p>
        </w:tc>
        <w:tc>
          <w:tcPr>
            <w:tcW w:type="dxa" w:w="711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Pengelolaan naskah, sinkronisasi, kurasi peraturan, pengelolaan pengguna</w:t>
            </w:r>
          </w:p>
        </w:tc>
      </w:tr>
      <w:tr>
        <w:tc>
          <w:tcPr>
            <w:tcW w:type="dxa" w:w="224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Pengguna unit</w:t>
            </w:r>
          </w:p>
        </w:tc>
        <w:tc>
          <w:tcPr>
            <w:tcW w:type="dxa" w:w="711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Penggunaan tanya jawab dan kajian, penelusuran naskah dan peraturan</w:t>
            </w:r>
          </w:p>
        </w:tc>
      </w:tr>
    </w:tbl>
    <w:p>
      <w:pPr>
        <w:spacing w:after="120"/>
      </w:pPr>
    </w:p>
    <w:p>
      <w:pPr>
        <w:pStyle w:val="Heading2"/>
        <w:spacing w:after="140" w:before="280"/>
      </w:pPr>
      <w:r>
        <w:rPr>
          <w:rFonts w:ascii="Calibri" w:cs="Calibri" w:eastAsia="Calibri" w:hAnsi="Calibri"/>
          <w:b/>
          <w:bCs/>
          <w:color w:val="1F4E79"/>
          <w:sz w:val="25"/>
          <w:szCs w:val="25"/>
        </w:rPr>
        <w:t xml:space="preserve">10.2 Pencatatan dan Pengawasan</w:t>
      </w:r>
    </w:p>
    <w:p>
      <w:pPr>
        <w:pStyle w:val="ListParagraph"/>
        <w:numPr>
          <w:ilvl w:val="0"/>
          <w:numId w:val="3"/>
        </w:numPr>
        <w:spacing w:after="80" w:line="276"/>
      </w:pPr>
      <w:r>
        <w:rPr>
          <w:rFonts w:ascii="Calibri" w:cs="Calibri" w:eastAsia="Calibri" w:hAnsi="Calibri"/>
          <w:sz w:val="22"/>
          <w:szCs w:val="22"/>
        </w:rPr>
        <w:t xml:space="preserve">Seluruh aktivitas penting tercatat dalam log audit, termasuk kurasi peraturan.</w:t>
      </w:r>
    </w:p>
    <w:p>
      <w:pPr>
        <w:pStyle w:val="ListParagraph"/>
        <w:numPr>
          <w:ilvl w:val="0"/>
          <w:numId w:val="3"/>
        </w:numPr>
        <w:spacing w:after="80" w:line="276"/>
      </w:pPr>
      <w:r>
        <w:rPr>
          <w:rFonts w:ascii="Calibri" w:cs="Calibri" w:eastAsia="Calibri" w:hAnsi="Calibri"/>
          <w:sz w:val="22"/>
          <w:szCs w:val="22"/>
        </w:rPr>
        <w:t xml:space="preserve">Riwayat pertanyaan dan jawaban tersimpan dan dapat ditinjau.</w:t>
      </w:r>
    </w:p>
    <w:p>
      <w:pPr>
        <w:pStyle w:val="ListParagraph"/>
        <w:numPr>
          <w:ilvl w:val="0"/>
          <w:numId w:val="3"/>
        </w:numPr>
        <w:spacing w:after="80" w:line="276"/>
      </w:pPr>
      <w:r>
        <w:rPr>
          <w:rFonts w:ascii="Calibri" w:cs="Calibri" w:eastAsia="Calibri" w:hAnsi="Calibri"/>
          <w:sz w:val="22"/>
          <w:szCs w:val="22"/>
        </w:rPr>
        <w:t xml:space="preserve">Penetapan status peraturan hanya dapat dilakukan administrator.</w:t>
      </w:r>
    </w:p>
    <w:p>
      <w:pPr>
        <w:spacing w:after="120"/>
      </w:pPr>
    </w:p>
    <w:p>
      <w:pPr>
        <w:pStyle w:val="Heading2"/>
        <w:spacing w:after="140" w:before="280"/>
      </w:pPr>
      <w:r>
        <w:rPr>
          <w:rFonts w:ascii="Calibri" w:cs="Calibri" w:eastAsia="Calibri" w:hAnsi="Calibri"/>
          <w:b/>
          <w:bCs/>
          <w:color w:val="1F4E79"/>
          <w:sz w:val="25"/>
          <w:szCs w:val="25"/>
        </w:rPr>
        <w:t xml:space="preserve">10.3 Batasan yang Dinyatakan kepada Pengguna</w:t>
      </w:r>
    </w:p>
    <w:p>
      <w:pPr>
        <w:spacing w:after="120" w:line="276"/>
      </w:pPr>
      <w:r>
        <w:rPr>
          <w:rFonts w:ascii="Calibri" w:cs="Calibri" w:eastAsia="Calibri" w:hAnsi="Calibri"/>
          <w:sz w:val="22"/>
          <w:szCs w:val="22"/>
        </w:rPr>
        <w:t xml:space="preserve">Sistem menyatakan batasannya secara terbuka pada antarmuka, mencakup:</w:t>
      </w:r>
    </w:p>
    <w:p>
      <w:pPr>
        <w:pStyle w:val="ListParagraph"/>
        <w:numPr>
          <w:ilvl w:val="0"/>
          <w:numId w:val="3"/>
        </w:numPr>
        <w:spacing w:after="80" w:line="276"/>
      </w:pPr>
      <w:r>
        <w:rPr>
          <w:rFonts w:ascii="Calibri" w:cs="Calibri" w:eastAsia="Calibri" w:hAnsi="Calibri"/>
          <w:sz w:val="22"/>
          <w:szCs w:val="22"/>
        </w:rPr>
        <w:t xml:space="preserve">Teks asli peraturan belum tersedia; isi yang ditampilkan berasal dari naskah yang merujuk.</w:t>
      </w:r>
    </w:p>
    <w:p>
      <w:pPr>
        <w:pStyle w:val="ListParagraph"/>
        <w:numPr>
          <w:ilvl w:val="0"/>
          <w:numId w:val="3"/>
        </w:numPr>
        <w:spacing w:after="80" w:line="276"/>
      </w:pPr>
      <w:r>
        <w:rPr>
          <w:rFonts w:ascii="Calibri" w:cs="Calibri" w:eastAsia="Calibri" w:hAnsi="Calibri"/>
          <w:sz w:val="22"/>
          <w:szCs w:val="22"/>
        </w:rPr>
        <w:t xml:space="preserve">Indikasi edisi lama bukan pernyataan bahwa suatu aturan telah dicabut.</w:t>
      </w:r>
    </w:p>
    <w:p>
      <w:pPr>
        <w:pStyle w:val="ListParagraph"/>
        <w:numPr>
          <w:ilvl w:val="0"/>
          <w:numId w:val="3"/>
        </w:numPr>
        <w:spacing w:after="80" w:line="276"/>
      </w:pPr>
      <w:r>
        <w:rPr>
          <w:rFonts w:ascii="Calibri" w:cs="Calibri" w:eastAsia="Calibri" w:hAnsi="Calibri"/>
          <w:sz w:val="22"/>
          <w:szCs w:val="22"/>
        </w:rPr>
        <w:t xml:space="preserve">Sistem membantu menemukan dan merangkum dasar aturan, bukan memberikan nasihat hukum.</w:t>
      </w:r>
    </w:p>
    <w:p>
      <w:pPr>
        <w:spacing w:after="200"/>
      </w:pPr>
    </w:p>
    <w:p>
      <w:pPr>
        <w:pStyle w:val="Heading1"/>
        <w:spacing w:after="140" w:before="280"/>
      </w:pPr>
      <w:r>
        <w:rPr>
          <w:rFonts w:ascii="Calibri" w:cs="Calibri" w:eastAsia="Calibri" w:hAnsi="Calibri"/>
          <w:b/>
          <w:bCs/>
          <w:color w:val="1F4E79"/>
          <w:sz w:val="30"/>
          <w:szCs w:val="30"/>
        </w:rPr>
        <w:t xml:space="preserve">11. Kebutuhan Sumber Daya</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34"/>
        <w:gridCol w:w="6926"/>
      </w:tblGrid>
      <w:tr>
        <w:trPr>
          <w:tblHeader/>
        </w:trPr>
        <w:tc>
          <w:tcPr>
            <w:tcW w:type="dxa" w:w="2434"/>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Kebutuhan</w:t>
            </w:r>
          </w:p>
        </w:tc>
        <w:tc>
          <w:tcPr>
            <w:tcW w:type="dxa" w:w="6926"/>
            <w:shd w:fill="1F4E79" w:val="clear"/>
            <w:tcMar>
              <w:top w:type="dxa" w:w="90"/>
              <w:left w:type="dxa" w:w="130"/>
              <w:bottom w:type="dxa" w:w="90"/>
              <w:right w:type="dxa" w:w="130"/>
            </w:tcMar>
          </w:tcPr>
          <w:p>
            <w:pPr>
              <w:spacing w:after="0" w:line="260"/>
            </w:pPr>
            <w:r>
              <w:rPr>
                <w:rFonts w:ascii="Calibri" w:cs="Calibri" w:eastAsia="Calibri" w:hAnsi="Calibri"/>
                <w:b/>
                <w:bCs/>
                <w:color w:val="FFFFFF"/>
                <w:sz w:val="20"/>
                <w:szCs w:val="20"/>
              </w:rPr>
              <w:t xml:space="preserve">Keterangan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Infrastruktur</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Server aplikasi internal; kebutuhan penyimpanan relatif kecil</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Layanan model bahasa</w:t>
            </w:r>
          </w:p>
        </w:tc>
        <w:tc>
          <w:tcPr>
            <w:tcW w:type="dxa" w:w="692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Kuota pemanggilan model untuk penyusunan jawaban</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Sumber daya manusia</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Pengembang sistem; kurator peraturan; narasumber ahli bidang PU</w:t>
            </w:r>
          </w:p>
        </w:tc>
      </w:tr>
      <w:tr>
        <w:tc>
          <w:tcPr>
            <w:tcW w:type="dxa" w:w="2434"/>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Akses dokumen</w:t>
            </w:r>
          </w:p>
        </w:tc>
        <w:tc>
          <w:tcPr>
            <w:tcW w:type="dxa" w:w="6926"/>
            <w:shd w:fill="F7F9FC" w:val="clear"/>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Ketersediaan teks peraturan dan pertimbangan lisensi dokumen SNI</w:t>
            </w:r>
          </w:p>
        </w:tc>
      </w:tr>
      <w:tr>
        <w:tc>
          <w:tcPr>
            <w:tcW w:type="dxa" w:w="2434"/>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Waktu</w:t>
            </w:r>
          </w:p>
        </w:tc>
        <w:tc>
          <w:tcPr>
            <w:tcW w:type="dxa" w:w="6926"/>
            <w:tcMar>
              <w:top w:type="dxa" w:w="90"/>
              <w:left w:type="dxa" w:w="130"/>
              <w:bottom w:type="dxa" w:w="90"/>
              <w:right w:type="dxa" w:w="130"/>
            </w:tcMar>
          </w:tcPr>
          <w:p>
            <w:pPr>
              <w:spacing w:after="0" w:line="260"/>
            </w:pPr>
            <w:r>
              <w:rPr>
                <w:rFonts w:ascii="Calibri" w:cs="Calibri" w:eastAsia="Calibri" w:hAnsi="Calibri"/>
                <w:color w:val="000000"/>
                <w:sz w:val="20"/>
                <w:szCs w:val="20"/>
              </w:rPr>
              <w:t xml:space="preserve">Pelaksanaan bertahap; setiap tahap memberikan manfaat yang dapat dinilai</w:t>
            </w:r>
          </w:p>
        </w:tc>
      </w:tr>
    </w:tbl>
    <w:p>
      <w:r>
        <w:br w:type="page"/>
      </w:r>
    </w:p>
    <w:p>
      <w:pPr>
        <w:pStyle w:val="Heading1"/>
        <w:spacing w:after="140" w:before="280"/>
      </w:pPr>
      <w:r>
        <w:rPr>
          <w:rFonts w:ascii="Calibri" w:cs="Calibri" w:eastAsia="Calibri" w:hAnsi="Calibri"/>
          <w:b/>
          <w:bCs/>
          <w:color w:val="1F4E79"/>
          <w:sz w:val="30"/>
          <w:szCs w:val="30"/>
        </w:rPr>
        <w:t xml:space="preserve">12. Penutup</w:t>
      </w:r>
    </w:p>
    <w:p>
      <w:pPr>
        <w:spacing w:after="120" w:line="276"/>
      </w:pPr>
      <w:r>
        <w:rPr>
          <w:rFonts w:ascii="Calibri" w:cs="Calibri" w:eastAsia="Calibri" w:hAnsi="Calibri"/>
          <w:sz w:val="22"/>
          <w:szCs w:val="22"/>
        </w:rPr>
        <w:t xml:space="preserve">JP-Insight telah berjalan dengan korpus 210 naskah Jurnal Permukiman yang terindeks penuh dan telah melayani pertanyaan pengguna secara nyata. Fondasi ketertelusuran sumber — syarat utama agar sistem ini layak dipercaya — telah ditegakkan pada tingkat program.</w:t>
      </w:r>
    </w:p>
    <w:p>
      <w:pPr>
        <w:spacing w:after="120" w:line="276"/>
      </w:pPr>
      <w:r>
        <w:rPr>
          <w:rFonts w:ascii="Calibri" w:cs="Calibri" w:eastAsia="Calibri" w:hAnsi="Calibri"/>
          <w:sz w:val="22"/>
          <w:szCs w:val="22"/>
        </w:rPr>
        <w:t xml:space="preserve">Pengembangan selanjutnya diarahkan pada kemampuan yang paling dibutuhkan peneliti: membandingkan temuan antar naskah dan mengenali celah riset yang masih terbuka, disertai perluasan cakupan pengetahuan ke peraturan dan literatur di luar jurnal.</w:t>
      </w:r>
    </w:p>
    <w:p>
      <w:pPr>
        <w:spacing w:after="120"/>
      </w:pPr>
    </w:p>
    <w:tbl>
      <w:tblPr>
        <w:tblW w:type="dxa" w:w="9360"/>
        <w:tblBorders>
          <w:top w:val="single" w:color="1F4E79" w:sz="6"/>
          <w:left w:val="single" w:color="1F4E79" w:sz="18"/>
          <w:bottom w:val="single" w:color="1F4E79" w:sz="6"/>
          <w:right w:val="single" w:color="1F4E79" w:sz="6"/>
          <w:insideH w:val="none"/>
          <w:insideV w:val="none"/>
        </w:tblBorders>
      </w:tblPr>
      <w:tblGrid>
        <w:gridCol w:w="9360"/>
      </w:tblGrid>
      <w:tr>
        <w:tc>
          <w:tcPr>
            <w:tcW w:type="dxa" w:w="9360"/>
            <w:shd w:fill="F2F7FC" w:val="clear"/>
            <w:tcMar>
              <w:top w:type="dxa" w:w="160"/>
              <w:left w:type="dxa" w:w="200"/>
              <w:bottom w:type="dxa" w:w="160"/>
              <w:right w:type="dxa" w:w="200"/>
            </w:tcMar>
          </w:tcPr>
          <w:p>
            <w:pPr>
              <w:spacing w:after="60" w:line="276"/>
            </w:pPr>
            <w:r>
              <w:rPr>
                <w:rFonts w:ascii="Calibri" w:cs="Calibri" w:eastAsia="Calibri" w:hAnsi="Calibri"/>
                <w:b/>
                <w:bCs/>
                <w:color w:val="1F4E79"/>
                <w:sz w:val="22"/>
                <w:szCs w:val="22"/>
              </w:rPr>
              <w:t xml:space="preserve">Hal yang perlu diputuskan pimpinan</w:t>
            </w:r>
          </w:p>
          <w:p>
            <w:pPr>
              <w:spacing w:after="60" w:line="276"/>
            </w:pPr>
            <w:r>
              <w:rPr>
                <w:rFonts w:ascii="Calibri" w:cs="Calibri" w:eastAsia="Calibri" w:hAnsi="Calibri"/>
                <w:sz w:val="22"/>
                <w:szCs w:val="22"/>
              </w:rPr>
              <w:t xml:space="preserve">1. Persetujuan atas arah pengembangan dan urutan prioritas sebagaimana Bab 6.</w:t>
            </w:r>
          </w:p>
          <w:p>
            <w:pPr>
              <w:spacing w:after="60" w:line="276"/>
            </w:pPr>
            <w:r>
              <w:rPr>
                <w:rFonts w:ascii="Calibri" w:cs="Calibri" w:eastAsia="Calibri" w:hAnsi="Calibri"/>
                <w:sz w:val="22"/>
                <w:szCs w:val="22"/>
              </w:rPr>
              <w:t xml:space="preserve">2. Penetapan penanggung jawab kurasi peraturan.</w:t>
            </w:r>
          </w:p>
          <w:p>
            <w:pPr>
              <w:spacing w:after="60" w:line="276"/>
            </w:pPr>
            <w:r>
              <w:rPr>
                <w:rFonts w:ascii="Calibri" w:cs="Calibri" w:eastAsia="Calibri" w:hAnsi="Calibri"/>
                <w:sz w:val="22"/>
                <w:szCs w:val="22"/>
              </w:rPr>
              <w:t xml:space="preserve">3. Kebijakan penyediaan teks peraturan, termasuk penanganan ketentuan lisensi dokumen SNI.</w:t>
            </w:r>
          </w:p>
          <w:p>
            <w:pPr>
              <w:spacing w:after="60" w:line="276"/>
            </w:pPr>
            <w:r>
              <w:rPr>
                <w:rFonts w:ascii="Calibri" w:cs="Calibri" w:eastAsia="Calibri" w:hAnsi="Calibri"/>
                <w:sz w:val="22"/>
                <w:szCs w:val="22"/>
              </w:rPr>
              <w:t xml:space="preserve">4. Kebijakan pemanfaatan sistem oleh unit kerja di luar pengelola jurnal.</w:t>
            </w:r>
          </w:p>
        </w:tc>
      </w:tr>
    </w:tbl>
    <w:p>
      <w:pPr>
        <w:spacing w:after="400"/>
      </w:pPr>
    </w:p>
    <w:p>
      <w:pPr>
        <w:spacing w:after="120" w:line="276"/>
      </w:pPr>
      <w:r>
        <w:rPr>
          <w:rFonts w:ascii="Calibri" w:cs="Calibri" w:eastAsia="Calibri" w:hAnsi="Calibri"/>
          <w:i/>
          <w:iCs/>
          <w:color w:val="595959"/>
          <w:sz w:val="20"/>
          <w:szCs w:val="20"/>
        </w:rPr>
        <w:t xml:space="preserve">Dokumen ini disusun berdasarkan kondisi sistem yang sedang berjalan. Seluruh angka yang disebutkan merupakan hasil pengukuran langsung terhadap basis data sistem pada tanggal penyusunan.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rFonts w:ascii="Calibri" w:cs="Calibri" w:eastAsia="Calibri" w:hAnsi="Calibri"/>
        <w:color w:val="595959"/>
        <w:sz w:val="16"/>
        <w:szCs w:val="16"/>
      </w:rPr>
      <w:t xml:space="preserve">JP-Insight — Dokumen SDLC  |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SDLC — JP-Insight Knowledge System Jurnal Permukiman</dc:title>
  <dc:creator>JP-Insight</dc:creator>
  <dc:description>Roadmap pengembangan dan arsitektur sistem</dc:description>
  <cp:lastModifiedBy>Un-named</cp:lastModifiedBy>
  <cp:revision>1</cp:revision>
  <dcterms:created xsi:type="dcterms:W3CDTF">2026-09-10T07:04:11.190Z</dcterms:created>
  <dcterms:modified xsi:type="dcterms:W3CDTF">2026-09-10T07:04:11.190Z</dcterms:modified>
</cp:coreProperties>
</file>

<file path=docProps/custom.xml><?xml version="1.0" encoding="utf-8"?>
<Properties xmlns="http://schemas.openxmlformats.org/officeDocument/2006/custom-properties" xmlns:vt="http://schemas.openxmlformats.org/officeDocument/2006/docPropsVTypes"/>
</file>