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B1C2C" w:val="clear"/>
          </w:tcPr>
          <w:p>
            <w:pPr>
              <w:spacing w:before="4565.6"/>
            </w:pPr>
          </w:p>
          <w:p>
            <w:pPr>
              <w:spacing w:after="100" w:line="506" w:lineRule="atLeast"/>
              <w:ind w:left="1200"/>
            </w:pPr>
            <w:r>
              <w:rPr>
                <w:rFonts w:ascii="Calibri" w:eastAsia="Arial"/>
                <w:b/>
                <w:bCs/>
                <w:color w:val="FFFFFF"/>
                <w:sz w:val="44"/>
                <w:szCs w:val="44"/>
              </w:rPr>
              <w:t xml:space="preserve">Compilacao Completa:</w:t>
            </w:r>
          </w:p>
          <w:p>
            <w:pPr>
              <w:spacing w:after="100" w:line="506" w:lineRule="atLeast"/>
              <w:ind w:left="1200"/>
            </w:pPr>
            <w:r>
              <w:rPr>
                <w:rFonts w:ascii="Calibri" w:eastAsia="Arial"/>
                <w:b/>
                <w:bCs/>
                <w:color w:val="FFFFFF"/>
                <w:sz w:val="44"/>
                <w:szCs w:val="44"/>
              </w:rPr>
              <w:t xml:space="preserve">Inteligencia de</w:t>
            </w:r>
          </w:p>
          <w:p>
            <w:pPr>
              <w:spacing w:after="100" w:line="506" w:lineRule="atLeast"/>
              <w:ind w:left="1200"/>
            </w:pPr>
            <w:r>
              <w:rPr>
                <w:rFonts w:ascii="Calibri" w:eastAsia="Arial"/>
                <w:b/>
                <w:bCs/>
                <w:color w:val="FFFFFF"/>
                <w:sz w:val="44"/>
                <w:szCs w:val="44"/>
              </w:rPr>
              <w:t xml:space="preserve">Mercado com Dados</w:t>
            </w:r>
          </w:p>
          <w:p>
            <w:pPr>
              <w:spacing w:after="300" w:line="506" w:lineRule="atLeast"/>
              <w:ind w:left="1200"/>
            </w:pPr>
            <w:r>
              <w:rPr>
                <w:rFonts w:ascii="Calibri" w:eastAsia="Arial"/>
                <w:b/>
                <w:bCs/>
                <w:color w:val="FFFFFF"/>
                <w:sz w:val="44"/>
                <w:szCs w:val="44"/>
              </w:rPr>
              <w:t xml:space="preserve">Publicos</w:t>
            </w:r>
          </w:p>
          <w:p>
            <w:pPr>
              <w:spacing w:after="800"/>
              <w:ind w:left="1200"/>
            </w:pPr>
            <w:r>
              <w:rPr>
                <w:rFonts w:ascii="Calibri" w:eastAsia="SimHei"/>
                <w:color w:val="B0B8C0"/>
                <w:sz w:val="24"/>
                <w:szCs w:val="24"/>
              </w:rPr>
              <w:t xml:space="preserve">Catalogo de APIs, Ideias de Negocio, Combinacoes de Dados e Analise Legal</w:t>
            </w:r>
          </w:p>
          <w:p>
            <w:pPr>
              <w:pBdr>
                <w:left w:val="single" w:color="529286" w:sz="8" w:space="12"/>
              </w:pBdr>
              <w:spacing w:after="80"/>
              <w:ind w:left="1400"/>
            </w:pPr>
            <w:r>
              <w:rPr>
                <w:rFonts w:ascii="Calibri" w:eastAsia="SimHei"/>
                <w:color w:val="90989F"/>
                <w:sz w:val="24"/>
                <w:szCs w:val="24"/>
              </w:rPr>
              <w:t xml:space="preserve">Junho 2026</w:t>
            </w:r>
          </w:p>
          <w:p>
            <w:pPr>
              <w:pBdr>
                <w:left w:val="single" w:color="529286" w:sz="8" w:space="12"/>
              </w:pBdr>
              <w:spacing w:after="80"/>
              <w:ind w:left="1400"/>
            </w:pPr>
            <w:r>
              <w:rPr>
                <w:rFonts w:ascii="Calibri" w:eastAsia="SimHei"/>
                <w:color w:val="90989F"/>
                <w:sz w:val="24"/>
                <w:szCs w:val="24"/>
              </w:rPr>
              <w:t xml:space="preserve">Documento de Referencia Estrategica</w:t>
            </w:r>
          </w:p>
          <w:p>
            <w:pPr>
              <w:spacing w:before="2853.5"/>
            </w:pPr>
          </w:p>
          <w:p>
            <w:pPr>
              <w:pBdr>
                <w:top w:val="single" w:color="529286" w:sz="2" w:space="8"/>
              </w:pBdr>
              <w:spacing w:before="200"/>
              <w:ind w:left="1200" w:right="800"/>
            </w:pPr>
            <w:r>
              <w:rPr>
                <w:rFonts w:ascii="Calibri"/>
                <w:color w:val="687078"/>
                <w:sz w:val="16"/>
                <w:szCs w:val="16"/>
              </w:rPr>
              <w:t xml:space="preserve">Inteligencia de Mercado</w:t>
            </w:r>
            <w:r>
              <w:t xml:space="preserve">                                                </w:t>
            </w:r>
            <w:r>
              <w:rPr>
                <w:rFonts w:ascii="Calibri"/>
                <w:color w:val="687078"/>
                <w:sz w:val="16"/>
                <w:szCs w:val="16"/>
              </w:rPr>
              <w:t xml:space="preserve">Confidencial</w:t>
            </w:r>
          </w:p>
        </w:tc>
      </w:tr>
    </w:tbl>
    <w:p>
      <w:pPr>
        <w:sectPr>
          <w:pgSz w:w="11906" w:h="16838" w:orient="portrait"/>
          <w:pgMar w:top="0" w:right="0" w:bottom="0" w:left="0" w:header="708" w:footer="708" w:gutter="0"/>
          <w:pgNumType/>
          <w:docGrid w:linePitch="360"/>
        </w:sectPr>
      </w:pPr>
    </w:p>
    <w:p>
      <w:pPr>
        <w:spacing w:after="360" w:before="480"/>
        <w:jc w:val="center"/>
      </w:pPr>
      <w:r>
        <w:rPr>
          <w:rFonts w:ascii="Calibri" w:eastAsia="SimHei"/>
          <w:b/>
          <w:bCs/>
          <w:color w:val="0B1220"/>
          <w:sz w:val="32"/>
          <w:szCs w:val="32"/>
        </w:rPr>
        <w:t xml:space="preserve">Sumario</w:t>
      </w:r>
    </w:p>
    <w:sdt>
      <w:sdtPr>
        <w:alias w:val="Sumario"/>
      </w:sdtPr>
      <w:sdtContent>
        <w:p>
          <w:r>
            <w:fldChar w:fldCharType="begin" w:dirty="true"/>
          </w:r>
          <w:r>
            <w:instrText xml:space="preserve">TOC \h \o "1-3"</w:instrText>
          </w:r>
          <w:r>
            <w:fldChar w:fldCharType="separate"/>
          </w:r>
        </w:p>
        <w:p>
          <w:pPr>
            <w:pStyle w:val="Title"/>
            <w:tabs>
              <w:tab w:val="right" w:leader="dot" w:pos="9026"/>
            </w:tabs>
            <w:spacing w:before="120" w:after="60"/>
          </w:pPr>
          <w:r>
            <w:t>Capitulo 1: Introducao e Contexto</w:t>
          </w:r>
          <w:r>
            <w:tab/>
          </w:r>
          <w:r>
            <w:t>1</w:t>
          </w:r>
        </w:p>
        <w:p>
          <w:pPr>
            <w:pStyle w:val="Title"/>
            <w:tabs>
              <w:tab w:val="right" w:leader="dot" w:pos="9026"/>
            </w:tabs>
            <w:spacing w:before="120" w:after="60"/>
          </w:pPr>
          <w:r>
            <w:t>Capitulo 2: Catalogo de APIs Publicas Brasileiras</w:t>
          </w:r>
          <w:r>
            <w:tab/>
          </w:r>
          <w:r>
            <w:t>2</w:t>
          </w:r>
        </w:p>
        <w:p>
          <w:pPr>
            <w:pStyle w:val="Title"/>
            <w:ind w:left="360"/>
            <w:tabs>
              <w:tab w:val="right" w:leader="dot" w:pos="9026"/>
            </w:tabs>
            <w:spacing w:before="120" w:after="60"/>
          </w:pPr>
          <w:r>
            <w:t>2.1 IBGE - Instituto Brasileiro de Geografia e Estatistica</w:t>
          </w:r>
          <w:r>
            <w:tab/>
          </w:r>
          <w:r>
            <w:t>2</w:t>
          </w:r>
        </w:p>
        <w:p>
          <w:pPr>
            <w:pStyle w:val="Title"/>
            <w:ind w:left="360"/>
            <w:tabs>
              <w:tab w:val="right" w:leader="dot" w:pos="9026"/>
            </w:tabs>
            <w:spacing w:before="120" w:after="60"/>
          </w:pPr>
          <w:r>
            <w:t>2.2 Banco Central do Brasil</w:t>
          </w:r>
          <w:r>
            <w:tab/>
          </w:r>
          <w:r>
            <w:t>3</w:t>
          </w:r>
        </w:p>
        <w:p>
          <w:pPr>
            <w:pStyle w:val="Title"/>
            <w:ind w:left="360"/>
            <w:tabs>
              <w:tab w:val="right" w:leader="dot" w:pos="9026"/>
            </w:tabs>
            <w:spacing w:before="120" w:after="60"/>
          </w:pPr>
          <w:r>
            <w:t>2.3 DATASUS - Departamento de Informatica do SUS</w:t>
          </w:r>
          <w:r>
            <w:tab/>
          </w:r>
          <w:r>
            <w:t>3</w:t>
          </w:r>
        </w:p>
        <w:p>
          <w:pPr>
            <w:pStyle w:val="Title"/>
            <w:ind w:left="360"/>
            <w:tabs>
              <w:tab w:val="right" w:leader="dot" w:pos="9026"/>
            </w:tabs>
            <w:spacing w:before="120" w:after="60"/>
          </w:pPr>
          <w:r>
            <w:t>2.4 DataJud - Conselho Nacional de Justica (CNJ)</w:t>
          </w:r>
          <w:r>
            <w:tab/>
          </w:r>
          <w:r>
            <w:t>3</w:t>
          </w:r>
        </w:p>
        <w:p>
          <w:pPr>
            <w:pStyle w:val="Title"/>
            <w:ind w:left="360"/>
            <w:tabs>
              <w:tab w:val="right" w:leader="dot" w:pos="9026"/>
            </w:tabs>
            <w:spacing w:before="120" w:after="60"/>
          </w:pPr>
          <w:r>
            <w:t>2.5 Comex Stat / MDIC</w:t>
          </w:r>
          <w:r>
            <w:tab/>
          </w:r>
          <w:r>
            <w:t>4</w:t>
          </w:r>
        </w:p>
        <w:p>
          <w:pPr>
            <w:pStyle w:val="Title"/>
            <w:ind w:left="360"/>
            <w:tabs>
              <w:tab w:val="right" w:leader="dot" w:pos="9026"/>
            </w:tabs>
            <w:spacing w:before="120" w:after="60"/>
          </w:pPr>
          <w:r>
            <w:t>2.6 Novo CAGED / MTE</w:t>
          </w:r>
          <w:r>
            <w:tab/>
          </w:r>
          <w:r>
            <w:t>4</w:t>
          </w:r>
        </w:p>
        <w:p>
          <w:pPr>
            <w:pStyle w:val="Title"/>
            <w:ind w:left="360"/>
            <w:tabs>
              <w:tab w:val="right" w:leader="dot" w:pos="9026"/>
            </w:tabs>
            <w:spacing w:before="120" w:after="60"/>
          </w:pPr>
          <w:r>
            <w:t>2.7 INEP - Instituto Nacional de Estudos e Pesquisas Educacionais</w:t>
          </w:r>
          <w:r>
            <w:tab/>
          </w:r>
          <w:r>
            <w:t>4</w:t>
          </w:r>
        </w:p>
        <w:p>
          <w:pPr>
            <w:pStyle w:val="Title"/>
            <w:ind w:left="360"/>
            <w:tabs>
              <w:tab w:val="right" w:leader="dot" w:pos="9026"/>
            </w:tabs>
            <w:spacing w:before="120" w:after="60"/>
          </w:pPr>
          <w:r>
            <w:t>2.8 INMET - Instituto Nacional de Meteorologia</w:t>
          </w:r>
          <w:r>
            <w:tab/>
          </w:r>
          <w:r>
            <w:t>5</w:t>
          </w:r>
        </w:p>
        <w:p>
          <w:pPr>
            <w:pStyle w:val="Title"/>
            <w:ind w:left="360"/>
            <w:tabs>
              <w:tab w:val="right" w:leader="dot" w:pos="9026"/>
            </w:tabs>
            <w:spacing w:before="120" w:after="60"/>
          </w:pPr>
          <w:r>
            <w:t>2.9 INPE - Instituto Nacional de Pesquisas Espaciais</w:t>
          </w:r>
          <w:r>
            <w:tab/>
          </w:r>
          <w:r>
            <w:t>5</w:t>
          </w:r>
        </w:p>
        <w:p>
          <w:pPr>
            <w:pStyle w:val="Title"/>
            <w:ind w:left="360"/>
            <w:tabs>
              <w:tab w:val="right" w:leader="dot" w:pos="9026"/>
            </w:tabs>
            <w:spacing w:before="120" w:after="60"/>
          </w:pPr>
          <w:r>
            <w:t>2.10 OpenStreetMap / Overpass API</w:t>
          </w:r>
          <w:r>
            <w:tab/>
          </w:r>
          <w:r>
            <w:t>6</w:t>
          </w:r>
        </w:p>
        <w:p>
          <w:pPr>
            <w:pStyle w:val="Title"/>
            <w:ind w:left="360"/>
            <w:tabs>
              <w:tab w:val="right" w:leader="dot" w:pos="9026"/>
            </w:tabs>
            <w:spacing w:before="120" w:after="60"/>
          </w:pPr>
          <w:r>
            <w:t>2.11 Receita Federal / CNPJ</w:t>
          </w:r>
          <w:r>
            <w:tab/>
          </w:r>
          <w:r>
            <w:t>6</w:t>
          </w:r>
        </w:p>
        <w:p>
          <w:pPr>
            <w:pStyle w:val="Title"/>
            <w:ind w:left="360"/>
            <w:tabs>
              <w:tab w:val="right" w:leader="dot" w:pos="9026"/>
            </w:tabs>
            <w:spacing w:before="120" w:after="60"/>
          </w:pPr>
          <w:r>
            <w:t>2.12 SICAR / CAR - Cadastro Ambiental Rural</w:t>
          </w:r>
          <w:r>
            <w:tab/>
          </w:r>
          <w:r>
            <w:t>6</w:t>
          </w:r>
        </w:p>
        <w:p>
          <w:pPr>
            <w:pStyle w:val="Title"/>
            <w:tabs>
              <w:tab w:val="right" w:leader="dot" w:pos="9026"/>
            </w:tabs>
            <w:spacing w:before="120" w:after="60"/>
          </w:pPr>
          <w:r>
            <w:t>Capitulo 3: Catalogo de APIs Internacionais</w:t>
          </w:r>
          <w:r>
            <w:tab/>
          </w:r>
          <w:r>
            <w:t>7</w:t>
          </w:r>
        </w:p>
        <w:p>
          <w:pPr>
            <w:pStyle w:val="Title"/>
            <w:ind w:left="360"/>
            <w:tabs>
              <w:tab w:val="right" w:leader="dot" w:pos="9026"/>
            </w:tabs>
            <w:spacing w:before="120" w:after="60"/>
          </w:pPr>
          <w:r>
            <w:t>3.1 Macroeconomia e Indicadores Sociais</w:t>
          </w:r>
          <w:r>
            <w:tab/>
          </w:r>
          <w:r>
            <w:t>7</w:t>
          </w:r>
        </w:p>
        <w:p>
          <w:pPr>
            <w:pStyle w:val="Title"/>
            <w:ind w:left="360"/>
            <w:tabs>
              <w:tab w:val="right" w:leader="dot" w:pos="9026"/>
            </w:tabs>
            <w:spacing w:before="120" w:after="60"/>
          </w:pPr>
          <w:r>
            <w:t>3.2 Comercio Exterior e Cadeia de Suprimentos</w:t>
          </w:r>
          <w:r>
            <w:tab/>
          </w:r>
          <w:r>
            <w:t>7</w:t>
          </w:r>
        </w:p>
        <w:p>
          <w:pPr>
            <w:pStyle w:val="Title"/>
            <w:ind w:left="360"/>
            <w:tabs>
              <w:tab w:val="right" w:leader="dot" w:pos="9026"/>
            </w:tabs>
            <w:spacing w:before="120" w:after="60"/>
          </w:pPr>
          <w:r>
            <w:t>3.3 Saude Global e Demografia</w:t>
          </w:r>
          <w:r>
            <w:tab/>
          </w:r>
          <w:r>
            <w:t>8</w:t>
          </w:r>
        </w:p>
        <w:p>
          <w:pPr>
            <w:pStyle w:val="Title"/>
            <w:ind w:left="360"/>
            <w:tabs>
              <w:tab w:val="right" w:leader="dot" w:pos="9026"/>
            </w:tabs>
            <w:spacing w:before="120" w:after="60"/>
          </w:pPr>
          <w:r>
            <w:t>3.4 Educacao</w:t>
          </w:r>
          <w:r>
            <w:tab/>
          </w:r>
          <w:r>
            <w:t>8</w:t>
          </w:r>
        </w:p>
        <w:p>
          <w:pPr>
            <w:pStyle w:val="Title"/>
            <w:ind w:left="360"/>
            <w:tabs>
              <w:tab w:val="right" w:leader="dot" w:pos="9026"/>
            </w:tabs>
            <w:spacing w:before="120" w:after="60"/>
          </w:pPr>
          <w:r>
            <w:t>3.5 Clima, Meio Ambiente e Dados Espaciais</w:t>
          </w:r>
          <w:r>
            <w:tab/>
          </w:r>
          <w:r>
            <w:t>8</w:t>
          </w:r>
        </w:p>
        <w:p>
          <w:pPr>
            <w:pStyle w:val="Title"/>
            <w:ind w:left="360"/>
            <w:tabs>
              <w:tab w:val="right" w:leader="dot" w:pos="9026"/>
            </w:tabs>
            <w:spacing w:before="120" w:after="60"/>
          </w:pPr>
          <w:r>
            <w:t>3.6 Geolocalizacao e Demografia</w:t>
          </w:r>
          <w:r>
            <w:tab/>
          </w:r>
          <w:r>
            <w:t>8</w:t>
          </w:r>
        </w:p>
        <w:p>
          <w:pPr>
            <w:pStyle w:val="Title"/>
            <w:ind w:left="360"/>
            <w:tabs>
              <w:tab w:val="right" w:leader="dot" w:pos="9026"/>
            </w:tabs>
            <w:spacing w:before="120" w:after="60"/>
          </w:pPr>
          <w:r>
            <w:t>3.7 Mercado Financeiro</w:t>
          </w:r>
          <w:r>
            <w:tab/>
          </w:r>
          <w:r>
            <w:t>9</w:t>
          </w:r>
        </w:p>
        <w:p>
          <w:pPr>
            <w:pStyle w:val="Title"/>
            <w:ind w:left="360"/>
            <w:tabs>
              <w:tab w:val="right" w:leader="dot" w:pos="9026"/>
            </w:tabs>
            <w:spacing w:before="120" w:after="60"/>
          </w:pPr>
          <w:r>
            <w:t>3.8 Energia</w:t>
          </w:r>
          <w:r>
            <w:tab/>
          </w:r>
          <w:r>
            <w:t>9</w:t>
          </w:r>
        </w:p>
        <w:p>
          <w:pPr>
            <w:pStyle w:val="Title"/>
            <w:tabs>
              <w:tab w:val="right" w:leader="dot" w:pos="9026"/>
            </w:tabs>
            <w:spacing w:before="120" w:after="60"/>
          </w:pPr>
          <w:r>
            <w:t>Capitulo 4: Ideias de Negocio com Dados Brasileiros</w:t>
          </w:r>
          <w:r>
            <w:tab/>
          </w:r>
          <w:r>
            <w:t>10</w:t>
          </w:r>
        </w:p>
        <w:p>
          <w:pPr>
            <w:pStyle w:val="Title"/>
            <w:ind w:left="360"/>
            <w:tabs>
              <w:tab w:val="right" w:leader="dot" w:pos="9026"/>
            </w:tabs>
            <w:spacing w:before="120" w:after="60"/>
          </w:pPr>
          <w:r>
            <w:t>4.1 Radar de Bairros Subvalorizados (Imobiliario)</w:t>
          </w:r>
          <w:r>
            <w:tab/>
          </w:r>
          <w:r>
            <w:t>10</w:t>
          </w:r>
        </w:p>
        <w:p>
          <w:pPr>
            <w:pStyle w:val="Title"/>
            <w:ind w:left="360"/>
            <w:tabs>
              <w:tab w:val="right" w:leader="dot" w:pos="9026"/>
            </w:tabs>
            <w:spacing w:before="120" w:after="60"/>
          </w:pPr>
          <w:r>
            <w:t>4.2 Termometro de Inadimplencia e Risco Local</w:t>
          </w:r>
          <w:r>
            <w:tab/>
          </w:r>
          <w:r>
            <w:t>10</w:t>
          </w:r>
        </w:p>
        <w:p>
          <w:pPr>
            <w:pStyle w:val="Title"/>
            <w:ind w:left="360"/>
            <w:tabs>
              <w:tab w:val="right" w:leader="dot" w:pos="9026"/>
            </w:tabs>
            <w:spacing w:before="120" w:after="60"/>
          </w:pPr>
          <w:r>
            <w:t>4.3 Clima-Saude: Predicao de Surtos Respiratorios</w:t>
          </w:r>
          <w:r>
            <w:tab/>
          </w:r>
          <w:r>
            <w:t>11</w:t>
          </w:r>
        </w:p>
        <w:p>
          <w:pPr>
            <w:pStyle w:val="Title"/>
            <w:ind w:left="360"/>
            <w:tabs>
              <w:tab w:val="right" w:leader="dot" w:pos="9026"/>
            </w:tabs>
            <w:spacing w:before="120" w:after="60"/>
          </w:pPr>
          <w:r>
            <w:t>4.4 Monitor de Risco Trabalhista para PMEs</w:t>
          </w:r>
          <w:r>
            <w:tab/>
          </w:r>
          <w:r>
            <w:t>11</w:t>
          </w:r>
        </w:p>
        <w:p>
          <w:pPr>
            <w:pStyle w:val="Title"/>
            <w:ind w:left="360"/>
            <w:tabs>
              <w:tab w:val="right" w:leader="dot" w:pos="9026"/>
            </w:tabs>
            <w:spacing w:before="120" w:after="60"/>
          </w:pPr>
          <w:r>
            <w:t>4.5 Radar de Expansao para Franquias e Varejo</w:t>
          </w:r>
          <w:r>
            <w:tab/>
          </w:r>
          <w:r>
            <w:t>12</w:t>
          </w:r>
        </w:p>
        <w:p>
          <w:pPr>
            <w:pStyle w:val="Title"/>
            <w:ind w:left="360"/>
            <w:tabs>
              <w:tab w:val="right" w:leader="dot" w:pos="9026"/>
            </w:tabs>
            <w:spacing w:before="120" w:after="60"/>
          </w:pPr>
          <w:r>
            <w:t>4.6 Inteligencia Ambiental para ESG e Credito Rural</w:t>
          </w:r>
          <w:r>
            <w:tab/>
          </w:r>
          <w:r>
            <w:t>12</w:t>
          </w:r>
        </w:p>
        <w:p>
          <w:pPr>
            <w:pStyle w:val="Title"/>
            <w:ind w:left="360"/>
            <w:tabs>
              <w:tab w:val="right" w:leader="dot" w:pos="9026"/>
            </w:tabs>
            <w:spacing w:before="120" w:after="60"/>
          </w:pPr>
          <w:r>
            <w:t>4.7 Precificacao de Risco Climatico para Seguro Agricola</w:t>
          </w:r>
          <w:r>
            <w:tab/>
          </w:r>
          <w:r>
            <w:t>13</w:t>
          </w:r>
        </w:p>
        <w:p>
          <w:pPr>
            <w:pStyle w:val="Title"/>
            <w:ind w:left="360"/>
            <w:tabs>
              <w:tab w:val="right" w:leader="dot" w:pos="9026"/>
            </w:tabs>
            <w:spacing w:before="120" w:after="60"/>
          </w:pPr>
          <w:r>
            <w:t>4.8 Inteligencia Juridica (Litigation Analytics)</w:t>
          </w:r>
          <w:r>
            <w:tab/>
          </w:r>
          <w:r>
            <w:t>13</w:t>
          </w:r>
        </w:p>
        <w:p>
          <w:pPr>
            <w:pStyle w:val="Title"/>
            <w:ind w:left="360"/>
            <w:tabs>
              <w:tab w:val="right" w:leader="dot" w:pos="9026"/>
            </w:tabs>
            <w:spacing w:before="120" w:after="60"/>
          </w:pPr>
          <w:r>
            <w:t>4.9 Mapa de Oportunidade de Credito e Inclusao Financeira</w:t>
          </w:r>
          <w:r>
            <w:tab/>
          </w:r>
          <w:r>
            <w:t>14</w:t>
          </w:r>
        </w:p>
        <w:p>
          <w:pPr>
            <w:pStyle w:val="Title"/>
            <w:ind w:left="360"/>
            <w:tabs>
              <w:tab w:val="right" w:leader="dot" w:pos="9026"/>
            </w:tabs>
            <w:spacing w:before="120" w:after="60"/>
          </w:pPr>
          <w:r>
            <w:t>4.10 LexAnalytics - Jurimetria Preditiva</w:t>
          </w:r>
          <w:r>
            <w:tab/>
          </w:r>
          <w:r>
            <w:t>14</w:t>
          </w:r>
        </w:p>
        <w:p>
          <w:pPr>
            <w:pStyle w:val="Title"/>
            <w:ind w:left="360"/>
            <w:tabs>
              <w:tab w:val="right" w:leader="dot" w:pos="9026"/>
            </w:tabs>
            <w:spacing w:before="120" w:after="60"/>
          </w:pPr>
          <w:r>
            <w:t>4.11 SaudeGeo Intelligence</w:t>
          </w:r>
          <w:r>
            <w:tab/>
          </w:r>
          <w:r>
            <w:t>15</w:t>
          </w:r>
        </w:p>
        <w:p>
          <w:pPr>
            <w:pStyle w:val="Title"/>
            <w:ind w:left="360"/>
            <w:tabs>
              <w:tab w:val="right" w:leader="dot" w:pos="9026"/>
            </w:tabs>
            <w:spacing w:before="120" w:after="60"/>
          </w:pPr>
          <w:r>
            <w:t>4.12 TradePulse Brasil</w:t>
          </w:r>
          <w:r>
            <w:tab/>
          </w:r>
          <w:r>
            <w:t>15</w:t>
          </w:r>
        </w:p>
        <w:p>
          <w:pPr>
            <w:pStyle w:val="Title"/>
            <w:ind w:left="360"/>
            <w:tabs>
              <w:tab w:val="right" w:leader="dot" w:pos="9026"/>
            </w:tabs>
            <w:spacing w:before="120" w:after="60"/>
          </w:pPr>
          <w:r>
            <w:t>4.13 AgroRisco</w:t>
          </w:r>
          <w:r>
            <w:tab/>
          </w:r>
          <w:r>
            <w:t>15</w:t>
          </w:r>
        </w:p>
        <w:p>
          <w:pPr>
            <w:pStyle w:val="Title"/>
            <w:ind w:left="360"/>
            <w:tabs>
              <w:tab w:val="right" w:leader="dot" w:pos="9026"/>
            </w:tabs>
            <w:spacing w:before="120" w:after="60"/>
          </w:pPr>
          <w:r>
            <w:t>4.14 GeoExpansao</w:t>
          </w:r>
          <w:r>
            <w:tab/>
          </w:r>
          <w:r>
            <w:t>16</w:t>
          </w:r>
        </w:p>
        <w:p>
          <w:pPr>
            <w:pStyle w:val="Title"/>
            <w:ind w:left="360"/>
            <w:tabs>
              <w:tab w:val="right" w:leader="dot" w:pos="9026"/>
            </w:tabs>
            <w:spacing w:before="120" w:after="60"/>
          </w:pPr>
          <w:r>
            <w:t>4.15 LexMapa - Observatorio de Risco Juridico</w:t>
          </w:r>
          <w:r>
            <w:tab/>
          </w:r>
          <w:r>
            <w:t>16</w:t>
          </w:r>
        </w:p>
        <w:p>
          <w:pPr>
            <w:pStyle w:val="Title"/>
            <w:ind w:left="360"/>
            <w:tabs>
              <w:tab w:val="right" w:leader="dot" w:pos="9026"/>
            </w:tabs>
            <w:spacing w:before="120" w:after="60"/>
          </w:pPr>
          <w:r>
            <w:t>4.16 RiskJudge - Analise de Risco Juridico e Financeiro</w:t>
          </w:r>
          <w:r>
            <w:tab/>
          </w:r>
          <w:r>
            <w:t>17</w:t>
          </w:r>
        </w:p>
        <w:p>
          <w:pPr>
            <w:pStyle w:val="Title"/>
            <w:ind w:left="360"/>
            <w:tabs>
              <w:tab w:val="right" w:leader="dot" w:pos="9026"/>
            </w:tabs>
            <w:spacing w:before="120" w:after="60"/>
          </w:pPr>
          <w:r>
            <w:t>4.17 PharmaMap - Inteligencia Geografica Farmaceutica</w:t>
          </w:r>
          <w:r>
            <w:tab/>
          </w:r>
          <w:r>
            <w:t>17</w:t>
          </w:r>
        </w:p>
        <w:p>
          <w:pPr>
            <w:pStyle w:val="Title"/>
            <w:ind w:left="360"/>
            <w:tabs>
              <w:tab w:val="right" w:leader="dot" w:pos="9026"/>
            </w:tabs>
            <w:spacing w:before="120" w:after="60"/>
          </w:pPr>
          <w:r>
            <w:t>4.18 AgroRisk - Radar Climatico e Logistico</w:t>
          </w:r>
          <w:r>
            <w:tab/>
          </w:r>
          <w:r>
            <w:t>17</w:t>
          </w:r>
        </w:p>
        <w:p>
          <w:pPr>
            <w:pStyle w:val="Title"/>
            <w:tabs>
              <w:tab w:val="right" w:leader="dot" w:pos="9026"/>
            </w:tabs>
            <w:spacing w:before="120" w:after="60"/>
          </w:pPr>
          <w:r>
            <w:t>Capitulo 5: Combinacoes Estrategicas de Dados (Framework DIKW)</w:t>
          </w:r>
          <w:r>
            <w:tab/>
          </w:r>
          <w:r>
            <w:t>18</w:t>
          </w:r>
        </w:p>
        <w:p>
          <w:pPr>
            <w:pStyle w:val="Title"/>
            <w:ind w:left="360"/>
            <w:tabs>
              <w:tab w:val="right" w:leader="dot" w:pos="9026"/>
            </w:tabs>
            <w:spacing w:before="120" w:after="60"/>
          </w:pPr>
          <w:r>
            <w:t>5.1 Receita da Sabedoria: Tipos Funcionais de Fontes</w:t>
          </w:r>
          <w:r>
            <w:tab/>
          </w:r>
          <w:r>
            <w:t>18</w:t>
          </w:r>
        </w:p>
        <w:p>
          <w:pPr>
            <w:pStyle w:val="Title"/>
            <w:ind w:left="360"/>
            <w:tabs>
              <w:tab w:val="right" w:leader="dot" w:pos="9026"/>
            </w:tabs>
            <w:spacing w:before="120" w:after="60"/>
          </w:pPr>
          <w:r>
            <w:t>5.2 Combinacao A: Termometro Social Antecipado</w:t>
          </w:r>
          <w:r>
            <w:tab/>
          </w:r>
          <w:r>
            <w:t>19</w:t>
          </w:r>
        </w:p>
        <w:p>
          <w:pPr>
            <w:pStyle w:val="Title"/>
            <w:ind w:left="360"/>
            <w:tabs>
              <w:tab w:val="right" w:leader="dot" w:pos="9026"/>
            </w:tabs>
            <w:spacing w:before="120" w:after="60"/>
          </w:pPr>
          <w:r>
            <w:t>5.3 Combinacao B: Cadeia Ambiente-Saude-Economia</w:t>
          </w:r>
          <w:r>
            <w:tab/>
          </w:r>
          <w:r>
            <w:t>19</w:t>
          </w:r>
        </w:p>
        <w:p>
          <w:pPr>
            <w:pStyle w:val="Title"/>
            <w:ind w:left="360"/>
            <w:tabs>
              <w:tab w:val="right" w:leader="dot" w:pos="9026"/>
            </w:tabs>
            <w:spacing w:before="120" w:after="60"/>
          </w:pPr>
          <w:r>
            <w:t>5.4 Combinacao C: Mapa da Fuga de Cerebros</w:t>
          </w:r>
          <w:r>
            <w:tab/>
          </w:r>
          <w:r>
            <w:t>19</w:t>
          </w:r>
        </w:p>
        <w:p>
          <w:pPr>
            <w:pStyle w:val="Title"/>
            <w:ind w:left="360"/>
            <w:tabs>
              <w:tab w:val="right" w:leader="dot" w:pos="9026"/>
            </w:tabs>
            <w:spacing w:before="120" w:after="60"/>
          </w:pPr>
          <w:r>
            <w:t>5.5 Combinacao D: Risco de Credito Territorial</w:t>
          </w:r>
          <w:r>
            <w:tab/>
          </w:r>
          <w:r>
            <w:t>20</w:t>
          </w:r>
        </w:p>
        <w:p>
          <w:pPr>
            <w:pStyle w:val="Title"/>
            <w:ind w:left="360"/>
            <w:tabs>
              <w:tab w:val="right" w:leader="dot" w:pos="9026"/>
            </w:tabs>
            <w:spacing w:before="120" w:after="60"/>
          </w:pPr>
          <w:r>
            <w:t>5.6 Combinacao E: Geografia da Judicializacao da Saude</w:t>
          </w:r>
          <w:r>
            <w:tab/>
          </w:r>
          <w:r>
            <w:t>20</w:t>
          </w:r>
        </w:p>
        <w:p>
          <w:pPr>
            <w:pStyle w:val="Title"/>
            <w:ind w:left="360"/>
            <w:tabs>
              <w:tab w:val="right" w:leader="dot" w:pos="9026"/>
            </w:tabs>
            <w:spacing w:before="120" w:after="60"/>
          </w:pPr>
          <w:r>
            <w:t>5.7 Combinacao F: Indice de Vulnerabilidade Municipal (IVM)</w:t>
          </w:r>
          <w:r>
            <w:tab/>
          </w:r>
          <w:r>
            <w:t>21</w:t>
          </w:r>
        </w:p>
        <w:p>
          <w:pPr>
            <w:pStyle w:val="Title"/>
            <w:ind w:left="360"/>
            <w:tabs>
              <w:tab w:val="right" w:leader="dot" w:pos="9026"/>
            </w:tabs>
            <w:spacing w:before="120" w:after="60"/>
          </w:pPr>
          <w:r>
            <w:t>5.8 Outras Combinacoes Relevantes</w:t>
          </w:r>
          <w:r>
            <w:tab/>
          </w:r>
          <w:r>
            <w:t>21</w:t>
          </w:r>
        </w:p>
        <w:p>
          <w:pPr>
            <w:pStyle w:val="Title"/>
            <w:tabs>
              <w:tab w:val="right" w:leader="dot" w:pos="9026"/>
            </w:tabs>
            <w:spacing w:before="120" w:after="60"/>
          </w:pPr>
          <w:r>
            <w:t>Capitulo 6: Combinacoes Internacionais</w:t>
          </w:r>
          <w:r>
            <w:tab/>
          </w:r>
          <w:r>
            <w:t>21</w:t>
          </w:r>
        </w:p>
        <w:p>
          <w:pPr>
            <w:pStyle w:val="Title"/>
            <w:ind w:left="360"/>
            <w:tabs>
              <w:tab w:val="right" w:leader="dot" w:pos="9026"/>
            </w:tabs>
            <w:spacing w:before="120" w:after="60"/>
          </w:pPr>
          <w:r>
            <w:t>6.1 Biometro de Risco de Investimento</w:t>
          </w:r>
          <w:r>
            <w:tab/>
          </w:r>
          <w:r>
            <w:t>22</w:t>
          </w:r>
        </w:p>
        <w:p>
          <w:pPr>
            <w:pStyle w:val="Title"/>
            <w:ind w:left="360"/>
            <w:tabs>
              <w:tab w:val="right" w:leader="dot" w:pos="9026"/>
            </w:tabs>
            <w:spacing w:before="120" w:after="60"/>
          </w:pPr>
          <w:r>
            <w:t>6.2 Oracle da Cadeia de Suprimentos Global</w:t>
          </w:r>
          <w:r>
            <w:tab/>
          </w:r>
          <w:r>
            <w:t>22</w:t>
          </w:r>
        </w:p>
        <w:p>
          <w:pPr>
            <w:pStyle w:val="Title"/>
            <w:ind w:left="360"/>
            <w:tabs>
              <w:tab w:val="right" w:leader="dot" w:pos="9026"/>
            </w:tabs>
            <w:spacing w:before="120" w:after="60"/>
          </w:pPr>
          <w:r>
            <w:t>6.3 Detector de Proximos Tigres Asiaticos</w:t>
          </w:r>
          <w:r>
            <w:tab/>
          </w:r>
          <w:r>
            <w:t>22</w:t>
          </w:r>
        </w:p>
        <w:p>
          <w:pPr>
            <w:pStyle w:val="Title"/>
            <w:ind w:left="360"/>
            <w:tabs>
              <w:tab w:val="right" w:leader="dot" w:pos="9026"/>
            </w:tabs>
            <w:spacing w:before="120" w:after="60"/>
          </w:pPr>
          <w:r>
            <w:t>6.4 Efeito Borboleta do Agronegocio</w:t>
          </w:r>
          <w:r>
            <w:tab/>
          </w:r>
          <w:r>
            <w:t>23</w:t>
          </w:r>
        </w:p>
        <w:p>
          <w:pPr>
            <w:pStyle w:val="Title"/>
            <w:ind w:left="360"/>
            <w:tabs>
              <w:tab w:val="right" w:leader="dot" w:pos="9026"/>
            </w:tabs>
            <w:spacing w:before="120" w:after="60"/>
          </w:pPr>
          <w:r>
            <w:t>6.5 Radar de Gentrificacao</w:t>
          </w:r>
          <w:r>
            <w:tab/>
          </w:r>
          <w:r>
            <w:t>23</w:t>
          </w:r>
        </w:p>
        <w:p>
          <w:pPr>
            <w:pStyle w:val="Title"/>
            <w:ind w:left="360"/>
            <w:tabs>
              <w:tab w:val="right" w:leader="dot" w:pos="9026"/>
            </w:tabs>
            <w:spacing w:before="120" w:after="60"/>
          </w:pPr>
          <w:r>
            <w:t>6.6 Mapeamento de Bolsoes de Talento Ocioso</w:t>
          </w:r>
          <w:r>
            <w:tab/>
          </w:r>
          <w:r>
            <w:t>23</w:t>
          </w:r>
        </w:p>
        <w:p>
          <w:pPr>
            <w:pStyle w:val="Title"/>
            <w:tabs>
              <w:tab w:val="right" w:leader="dot" w:pos="9026"/>
            </w:tabs>
            <w:spacing w:before="120" w:after="60"/>
          </w:pPr>
          <w:r>
            <w:t>Capitulo 7: Pipeline Tecnico e Stack</w:t>
          </w:r>
          <w:r>
            <w:tab/>
          </w:r>
          <w:r>
            <w:t>24</w:t>
          </w:r>
        </w:p>
        <w:p>
          <w:pPr>
            <w:pStyle w:val="Title"/>
            <w:ind w:left="360"/>
            <w:tabs>
              <w:tab w:val="right" w:leader="dot" w:pos="9026"/>
            </w:tabs>
            <w:spacing w:before="120" w:after="60"/>
          </w:pPr>
          <w:r>
            <w:t>7.1 Alinhamento de Periodicidades</w:t>
          </w:r>
          <w:r>
            <w:tab/>
          </w:r>
          <w:r>
            <w:t>24</w:t>
          </w:r>
        </w:p>
        <w:p>
          <w:pPr>
            <w:pStyle w:val="Title"/>
            <w:ind w:left="360"/>
            <w:tabs>
              <w:tab w:val="right" w:leader="dot" w:pos="9026"/>
            </w:tabs>
            <w:spacing w:before="120" w:after="60"/>
          </w:pPr>
          <w:r>
            <w:t>7.2 Stack Recomendado</w:t>
          </w:r>
          <w:r>
            <w:tab/>
          </w:r>
          <w:r>
            <w:t>25</w:t>
          </w:r>
        </w:p>
        <w:p>
          <w:pPr>
            <w:pStyle w:val="Title"/>
            <w:tabs>
              <w:tab w:val="right" w:leader="dot" w:pos="9026"/>
            </w:tabs>
            <w:spacing w:before="120" w:after="60"/>
          </w:pPr>
          <w:r>
            <w:t>Capitulo 8: Framework Legal Consolidado</w:t>
          </w:r>
          <w:r>
            <w:tab/>
          </w:r>
          <w:r>
            <w:t>25</w:t>
          </w:r>
        </w:p>
        <w:p>
          <w:pPr>
            <w:pStyle w:val="Title"/>
            <w:ind w:left="360"/>
            <w:tabs>
              <w:tab w:val="right" w:leader="dot" w:pos="9026"/>
            </w:tabs>
            <w:spacing w:before="120" w:after="60"/>
          </w:pPr>
          <w:r>
            <w:t>8.1 Questoes Legais Transversais</w:t>
          </w:r>
          <w:r>
            <w:tab/>
          </w:r>
          <w:r>
            <w:t>25</w:t>
          </w:r>
        </w:p>
        <w:p>
          <w:pPr>
            <w:pStyle w:val="Title"/>
            <w:ind w:left="360"/>
            <w:tabs>
              <w:tab w:val="right" w:leader="dot" w:pos="9026"/>
            </w:tabs>
            <w:spacing w:before="120" w:after="60"/>
          </w:pPr>
          <w:r>
            <w:t>8.2 Alternativas ao Comex Stat</w:t>
          </w:r>
          <w:r>
            <w:tab/>
          </w:r>
          <w:r>
            <w:t>26</w:t>
          </w:r>
        </w:p>
        <w:p>
          <w:pPr>
            <w:pStyle w:val="Title"/>
            <w:ind w:left="360"/>
            <w:tabs>
              <w:tab w:val="right" w:leader="dot" w:pos="9026"/>
            </w:tabs>
            <w:spacing w:before="120" w:after="60"/>
          </w:pPr>
          <w:r>
            <w:t>8.3 Boas Praticas de Compliance</w:t>
          </w:r>
          <w:r>
            <w:tab/>
          </w:r>
          <w:r>
            <w:t>26</w:t>
          </w:r>
        </w:p>
        <w:p>
          <w:pPr>
            <w:pStyle w:val="Title"/>
            <w:tabs>
              <w:tab w:val="right" w:leader="dot" w:pos="9026"/>
            </w:tabs>
            <w:spacing w:before="120" w:after="60"/>
          </w:pPr>
          <w:r>
            <w:t>Capitulo 9: Roadmap e Priorizacao</w:t>
          </w:r>
          <w:r>
            <w:tab/>
          </w:r>
          <w:r>
            <w:t>26</w:t>
          </w:r>
        </w:p>
        <w:p>
          <w:pPr>
            <w:pStyle w:val="Title"/>
            <w:ind w:left="360"/>
            <w:tabs>
              <w:tab w:val="right" w:leader="dot" w:pos="9026"/>
            </w:tabs>
            <w:spacing w:before="120" w:after="60"/>
          </w:pPr>
          <w:r>
            <w:t>9.1 Priorizacao das Combinacoes</w:t>
          </w:r>
          <w:r>
            <w:tab/>
          </w:r>
          <w:r>
            <w:t>27</w:t>
          </w:r>
        </w:p>
        <w:p>
          <w:pPr>
            <w:pStyle w:val="Title"/>
            <w:ind w:left="360"/>
            <w:tabs>
              <w:tab w:val="right" w:leader="dot" w:pos="9026"/>
            </w:tabs>
            <w:spacing w:before="120" w:after="60"/>
          </w:pPr>
          <w:r>
            <w:t>9.2 Roadmap 18 Meses</w:t>
          </w:r>
          <w:r>
            <w:tab/>
          </w:r>
          <w:r>
            <w:t>27</w:t>
          </w:r>
        </w:p>
        <w:p>
          <w:pPr>
            <w:pStyle w:val="Title"/>
            <w:ind w:left="360"/>
            <w:tabs>
              <w:tab w:val="right" w:leader="dot" w:pos="9026"/>
            </w:tabs>
            <w:spacing w:before="120" w:after="60"/>
          </w:pPr>
          <w:r>
            <w:t>9.3 Abordagem Recomendada</w:t>
          </w:r>
          <w:r>
            <w:tab/>
          </w:r>
          <w:r>
            <w:t>27</w:t>
          </w:r>
        </w:p>
        <w:p>
          <w:pPr>
            <w:pStyle w:val="Title"/>
            <w:tabs>
              <w:tab w:val="right" w:leader="dot" w:pos="9026"/>
            </w:tabs>
            <w:spacing w:before="120" w:after="60"/>
          </w:pPr>
          <w:r>
            <w:t>Capitulo 10: Consideracoes Finais</w:t>
          </w:r>
          <w:r>
            <w:tab/>
          </w:r>
          <w:r>
            <w:t>27</w:t>
          </w:r>
        </w:p>
        <w:p>
          <w:r>
            <w:fldChar w:fldCharType="end"/>
          </w:r>
        </w:p>
      </w:sdtContent>
    </w:sdt>
    <w:p>
      <w:pPr>
        <w:spacing w:before="200"/>
      </w:pPr>
      <w:r>
        <w:rPr>
          <w:rFonts w:ascii="Calibri"/>
          <w:i/>
          <w:iCs/>
          <w:color w:val="888888"/>
          <w:sz w:val="18"/>
          <w:szCs w:val="18"/>
        </w:rPr>
        <w:t xml:space="preserve">Nota: Este Sumario e gerado via codigos de campo. Para garantir a precisao dos numeros de pagina apos edicao, clique com o botao direito no Sumario e selecione "Atualizar Campo."</w:t>
      </w:r>
    </w:p>
    <w:p>
      <w:r>
        <w:br w:type="page"/>
      </w:r>
    </w:p>
    <w:p>
      <w:pPr>
        <w:sectPr>
          <w:footerReference w:type="default" r:id="rId7"/>
          <w:type w:val="nextPage"/>
          <w:pgSz w:w="11906" w:h="16838" w:orient="portrait"/>
          <w:pgMar w:top="1417" w:right="1417" w:bottom="1417" w:left="1701" w:header="708" w:footer="708" w:gutter="0"/>
          <w:pgNumType w:start="1" w:fmt="upperRoman"/>
          <w:docGrid w:linePitch="360"/>
        </w:sectPr>
      </w:pPr>
    </w:p>
    <w:p>
      <w:pPr>
        <w:pStyle w:val="Heading1"/>
        <w:spacing w:after="240" w:before="480" w:line="312"/>
      </w:pPr>
      <w:bookmarkStart w:id="100000" w:name="_Toc100000"/>
      <w:r>
        <w:rPr>
          <w:rFonts w:ascii="Calibri" w:eastAsia="SimHei"/>
          <w:b/>
          <w:bCs/>
          <w:color w:val="0B1220"/>
          <w:sz w:val="32"/>
          <w:szCs w:val="32"/>
        </w:rPr>
        <w:t xml:space="preserve">Capitulo 1: Introducao e Contexto</w:t>
      </w:r>
      <w:bookmarkEnd w:id="100000"/>
    </w:p>
    <w:p>
      <w:pPr>
        <w:spacing w:after="120" w:line="312"/>
        <w:ind w:firstLine="480"/>
        <w:jc w:val="both"/>
      </w:pPr>
      <w:r>
        <w:rPr>
          <w:rFonts w:ascii="Calibri" w:eastAsia="SimHei"/>
          <w:color w:val="000000"/>
          <w:sz w:val="24"/>
          <w:szCs w:val="24"/>
        </w:rPr>
        <w:t xml:space="preserve">O Brasil possui um dos ecossistemas de dados publicos mais ricos e abrangentes do mundo. Com dezenas de APIs governamentais e milhares de conjuntos de dados disponiveis gratuitamente, o pais oferece uma base excepcional para a construcao de negocios baseados em inteligencia de dados. Desde dados demograficos do IBGE ate informacoes judiciais do DataJud, passando por indicadores economicos do Banco Central e dados de saude do DATASUS, a infraestrutura publica de informacao brasileira e vasta, porem ainda subutilizada pelo setor privado e empreendedores.</w:t>
      </w:r>
    </w:p>
    <w:p>
      <w:pPr>
        <w:spacing w:after="120" w:line="312"/>
        <w:ind w:firstLine="480"/>
        <w:jc w:val="both"/>
      </w:pPr>
      <w:r>
        <w:rPr>
          <w:rFonts w:ascii="Calibri" w:eastAsia="SimHei"/>
          <w:color w:val="000000"/>
          <w:sz w:val="24"/>
          <w:szCs w:val="24"/>
        </w:rPr>
        <w:t xml:space="preserve">A piramide DIKW (Data, Information, Knowledge, Wisdom) fornece o arcabouco conceitual para entender como valor e extraido de dados publicos. Na base estao os Dados brutos: os registros soltos, as series temporais, os arquivos CSV. Acima, a Informacao surge quando dados sao contextualizados e organizados. O Conhecimento emerge quando padroes sao identificados e validados. No topo, a Sabedoria representa a capacidade de tomar decisoes estrategicas antecipadas com base nesse conhecimento acumulado. Nenhuma fonte isolada de dados publicos brasileiros e suficiente para gerar sabedoria por si so; e na combinacao e cruzamento entre fontes diversas que reside o verdadeiro valor competitivo.</w:t>
      </w:r>
    </w:p>
    <w:p>
      <w:pPr>
        <w:spacing w:after="120" w:line="312"/>
        <w:ind w:firstLine="480"/>
        <w:jc w:val="both"/>
      </w:pPr>
      <w:r>
        <w:rPr>
          <w:rFonts w:ascii="Calibri" w:eastAsia="SimHei"/>
          <w:color w:val="000000"/>
          <w:sz w:val="24"/>
          <w:szCs w:val="24"/>
        </w:rPr>
        <w:t xml:space="preserve">As fontes de dados podem ser classificadas em tres tipos funcionais: sinais precoces, contexto estrutural e consequencia/validacao. Sinais precoces sao dados de alta frequencia que antecipam tendencias, como contratacoes do CAGED, alertas de desmatamento do INPE ou dados meteorologicos do INMET. O contexto estrutural fornece a linha de base, como dados censitarios do IBGE, microdados educacionais do INEP ou dados de emprego da RAIS. As fontes de consequencia e validacao mostram os efeitos retroativos, como internacoes do DATASUS, processos no DataJud ou dados bancarios do ESTBAN. O conhecimento vive no lag entre sinal e consequencia; a sabedoria e agir dentro desse lag.</w:t>
      </w:r>
    </w:p>
    <w:p>
      <w:pPr>
        <w:spacing w:after="120" w:line="312"/>
        <w:ind w:firstLine="480"/>
        <w:jc w:val="both"/>
      </w:pPr>
      <w:r>
        <w:rPr>
          <w:rFonts w:ascii="Calibri" w:eastAsia="SimHei"/>
          <w:color w:val="000000"/>
          <w:sz w:val="24"/>
          <w:szCs w:val="24"/>
        </w:rPr>
        <w:t xml:space="preserve">Este documento compila de forma abrangente todo o universo de APIs publicas brasileiras e internacionais disponiveis, apresenta ideias de negocios concretas viabilizadas por esses dados, explora combinacoes estrategicas seguindo o framework DIKW, analisa o arcabouco legal e regulatorio relevante, e propoe um roadmap de implementacao priorizado. O objetivo e servir como referencia estrategica completa para empreendedores, desenvolvedores e gestores que buscam transformar dados publicos em valor economico.</w:t>
      </w:r>
    </w:p>
    <w:p>
      <w:pPr>
        <w:spacing w:after="200"/>
      </w:pPr>
    </w:p>
    <w:p>
      <w:pPr>
        <w:pStyle w:val="Heading1"/>
        <w:spacing w:after="240" w:before="480" w:line="312"/>
      </w:pPr>
      <w:bookmarkStart w:id="100001" w:name="_Toc100001"/>
      <w:r>
        <w:rPr>
          <w:rFonts w:ascii="Calibri" w:eastAsia="SimHei"/>
          <w:b/>
          <w:bCs/>
          <w:color w:val="0B1220"/>
          <w:sz w:val="32"/>
          <w:szCs w:val="32"/>
        </w:rPr>
        <w:t xml:space="preserve">Capitulo 2: Catalogo de APIs Publicas Brasileiras</w:t>
      </w:r>
      <w:bookmarkEnd w:id="100001"/>
    </w:p>
    <w:p>
      <w:pPr>
        <w:spacing w:after="120" w:line="312"/>
        <w:ind w:firstLine="480"/>
        <w:jc w:val="both"/>
      </w:pPr>
      <w:r>
        <w:rPr>
          <w:rFonts w:ascii="Calibri" w:eastAsia="SimHei"/>
          <w:color w:val="000000"/>
          <w:sz w:val="24"/>
          <w:szCs w:val="24"/>
        </w:rPr>
        <w:t xml:space="preserve">Este capitulo apresenta um levantamento detalhado das principais fontes de dados publicas brasileiras, organizadas por instituicao. Cada secao descreve a natureza dos dados disponiveis, os endpoints de acesso, os termos de uso e as restricoes legais aplicaveis. O ecossistema brasileiro e particularmente rico em dados governamentais abertos, resultado de politicas de transparencia e legislacao como a Lei de Acesso a Informacao e a Lei Geral de Protecao de Dados (LGPD).</w:t>
      </w:r>
    </w:p>
    <w:p>
      <w:pPr>
        <w:pStyle w:val="Heading2"/>
        <w:spacing w:after="160" w:before="360" w:line="312"/>
      </w:pPr>
      <w:bookmarkStart w:id="100002" w:name="_Toc100002"/>
      <w:r>
        <w:rPr>
          <w:rFonts w:ascii="Calibri" w:eastAsia="SimHei"/>
          <w:b/>
          <w:bCs/>
          <w:color w:val="0B1220"/>
          <w:sz w:val="28"/>
          <w:szCs w:val="28"/>
        </w:rPr>
        <w:t xml:space="preserve">2.1 IBGE - Instituto Brasileiro de Geografia e Estatistica</w:t>
      </w:r>
      <w:bookmarkEnd w:id="100002"/>
    </w:p>
    <w:p>
      <w:pPr>
        <w:spacing w:after="120" w:line="312"/>
        <w:ind w:firstLine="480"/>
        <w:jc w:val="both"/>
      </w:pPr>
      <w:r>
        <w:rPr>
          <w:rFonts w:ascii="Calibri" w:eastAsia="SimHei"/>
          <w:color w:val="000000"/>
          <w:sz w:val="24"/>
          <w:szCs w:val="24"/>
        </w:rPr>
        <w:t xml:space="preserve">O IBGE e a principal fonte de dados socioeconomicos, demograficos e geograficos do Brasil. Seu sistema Agregados/SIDRA disponibiliza indicadores estatisticos como populacao, renda per capita, PIB municipal, Produto Interno Bruto, Indice de Desenvolvimento Humano Municipal (IDH-M) e dados detalhados do Censo 2022. O servico de Malhas Digitais oferece limites geograficos oficiais de municipios, estados, biomas e unidades de conservacao em formatos vetoriais, essenciais para qualquer analise espacial. O sistema de Localidades fornece dados socioeconomicos por municipio, incluindo acesso a saneamento, taxa de urbanizacao, densidade demografica e indicadores de emprego.</w:t>
      </w:r>
    </w:p>
    <w:p>
      <w:pPr>
        <w:spacing w:after="120" w:line="312"/>
        <w:ind w:firstLine="480"/>
        <w:jc w:val="both"/>
      </w:pPr>
      <w:r>
        <w:rPr>
          <w:rFonts w:ascii="Calibri" w:eastAsia="SimHei"/>
          <w:color w:val="000000"/>
          <w:sz w:val="24"/>
          <w:szCs w:val="24"/>
        </w:rPr>
        <w:t xml:space="preserve">O acesso e inteiramente gratuito, nao requer autenticacao, e utiliza o formato REST/JSON. A API esta disponivel em servicodados.ibge.gov.br/api/docs e representa uma das fontes mais estaveis e bem documentadas do ecossistema brasileiro de dados publicos. A unica restricao relevante e o sigilo estatistico (Lei 5.534/1968), que impede a divulgacao de dados que permitam a identificacao individual de unidades produtivas ou pessoas em microdados.</w:t>
      </w:r>
    </w:p>
    <w:p>
      <w:pPr>
        <w:pStyle w:val="Heading2"/>
        <w:spacing w:after="160" w:before="360" w:line="312"/>
      </w:pPr>
      <w:bookmarkStart w:id="100003" w:name="_Toc100003"/>
      <w:r>
        <w:rPr>
          <w:rFonts w:ascii="Calibri" w:eastAsia="SimHei"/>
          <w:b/>
          <w:bCs/>
          <w:color w:val="0B1220"/>
          <w:sz w:val="28"/>
          <w:szCs w:val="28"/>
        </w:rPr>
        <w:t xml:space="preserve">2.2 Banco Central do Brasil</w:t>
      </w:r>
      <w:bookmarkEnd w:id="100003"/>
    </w:p>
    <w:p>
      <w:pPr>
        <w:spacing w:after="120" w:line="312"/>
        <w:ind w:firstLine="480"/>
        <w:jc w:val="both"/>
      </w:pPr>
      <w:r>
        <w:rPr>
          <w:rFonts w:ascii="Calibri" w:eastAsia="SimHei"/>
          <w:color w:val="000000"/>
          <w:sz w:val="24"/>
          <w:szCs w:val="24"/>
        </w:rPr>
        <w:t xml:space="preserve">O Banco Central disponibiliza dois grandes sistemas de dados. O SGS (Sistema Gerenciador de Series Temporais) contem mais de 800 mil series temporais de indicadores macroeconomicos, incluindo Selic, IPCA, dolar, reserva internacional, credito rural, depositos bancarios e mais de duas decadas de historia. O ESTBAN (Estatistica Bancaria por Municipio) oferece dados mensais de credito, depositos, agencias e operacoes bancarias desagregados por municipio, possibilitando analises granulares da penetracao financeira e dinamica de credito em cada localidade.</w:t>
      </w:r>
    </w:p>
    <w:p>
      <w:pPr>
        <w:spacing w:after="120" w:line="312"/>
        <w:ind w:firstLine="480"/>
        <w:jc w:val="both"/>
      </w:pPr>
      <w:r>
        <w:rPr>
          <w:rFonts w:ascii="Calibri" w:eastAsia="SimHei"/>
          <w:color w:val="000000"/>
          <w:sz w:val="24"/>
          <w:szCs w:val="24"/>
        </w:rPr>
        <w:t xml:space="preserve">A API esta disponivel em api.bcb.gov.br, com acesso gratuito e sem necessidade de autenticacao, retornando dados em formato JSON. Adicionalmente, o portal dadosabertos.bcb.gov.br oferece datasets complementares. Os dados do BCB sao abertos, sem restricoes de uso para fins agregados, e representam uma das fontes mais confiaveis e completas para analise economica territorializada no Brasil.</w:t>
      </w:r>
    </w:p>
    <w:p>
      <w:pPr>
        <w:pStyle w:val="Heading2"/>
        <w:spacing w:after="160" w:before="360" w:line="312"/>
      </w:pPr>
      <w:bookmarkStart w:id="100004" w:name="_Toc100004"/>
      <w:r>
        <w:rPr>
          <w:rFonts w:ascii="Calibri" w:eastAsia="SimHei"/>
          <w:b/>
          <w:bCs/>
          <w:color w:val="0B1220"/>
          <w:sz w:val="28"/>
          <w:szCs w:val="28"/>
        </w:rPr>
        <w:t xml:space="preserve">2.3 DATASUS - Departamento de Informatica do SUS</w:t>
      </w:r>
      <w:bookmarkEnd w:id="100004"/>
    </w:p>
    <w:p>
      <w:pPr>
        <w:spacing w:after="120" w:line="312"/>
        <w:ind w:firstLine="480"/>
        <w:jc w:val="both"/>
      </w:pPr>
      <w:r>
        <w:rPr>
          <w:rFonts w:ascii="Calibri" w:eastAsia="SimHei"/>
          <w:color w:val="000000"/>
          <w:sz w:val="24"/>
          <w:szCs w:val="24"/>
        </w:rPr>
        <w:t xml:space="preserve">O DATASUS e o repositorio de dados de saude mais abrangente da America Latina. O SIH (Sistema de Informacoes Hospitalares) registra toda a producao hospitalar do SUS por CID (Classificacao Internacional de Doencas), municipio e mes. O SIA (Sistema de Informacoes Ambulatoriais) captura procedimentos ambulatoriais. O CNES (Cadastro Nacional de Estabelecimentos de Saude) cataloga todos os estabelecimentos, equipamentos e leitos de saude do pais. O SIM (Sistema de Informacoes sobre Mortalidade) registra todas as causas de morte, SINASC (Nascidos Vivos) acompanha nascimentos, e SINAN (Agravos de Notificacao) monitora doencas de notificacao compulsoria.</w:t>
      </w:r>
    </w:p>
    <w:p>
      <w:pPr>
        <w:spacing w:after="120" w:line="312"/>
        <w:ind w:firstLine="480"/>
        <w:jc w:val="both"/>
      </w:pPr>
      <w:r>
        <w:rPr>
          <w:rFonts w:ascii="Calibri" w:eastAsia="SimHei"/>
          <w:color w:val="000000"/>
          <w:sz w:val="24"/>
          <w:szCs w:val="24"/>
        </w:rPr>
        <w:t xml:space="preserve">O acesso e predominantemente via FTP e TabNET, inteiramente gratuito, com dados anonimizados e sem necessidade de autenticacao. A biblioteca PySUS facilita o acesso programatico em Python. Os dados do DATASUS sao fundamentais para qualquer analise de saude publica territorializada e ja foram amplamente utilizados em pesquisa academica e em projetos de inteligencia epidemiologica.</w:t>
      </w:r>
    </w:p>
    <w:p>
      <w:pPr>
        <w:pStyle w:val="Heading2"/>
        <w:spacing w:after="160" w:before="360" w:line="312"/>
      </w:pPr>
      <w:bookmarkStart w:id="100005" w:name="_Toc100005"/>
      <w:r>
        <w:rPr>
          <w:rFonts w:ascii="Calibri" w:eastAsia="SimHei"/>
          <w:b/>
          <w:bCs/>
          <w:color w:val="0B1220"/>
          <w:sz w:val="28"/>
          <w:szCs w:val="28"/>
        </w:rPr>
        <w:t xml:space="preserve">2.4 DataJud - Conselho Nacional de Justica (CNJ)</w:t>
      </w:r>
      <w:bookmarkEnd w:id="100005"/>
    </w:p>
    <w:p>
      <w:pPr>
        <w:spacing w:after="120" w:line="312"/>
        <w:ind w:firstLine="480"/>
        <w:jc w:val="both"/>
      </w:pPr>
      <w:r>
        <w:rPr>
          <w:rFonts w:ascii="Calibri" w:eastAsia="SimHei"/>
          <w:color w:val="000000"/>
          <w:sz w:val="24"/>
          <w:szCs w:val="24"/>
        </w:rPr>
        <w:t xml:space="preserve">O DataJud e o maior banco de dados juridicos publicos do Brasil, abrangendo mais de 90 tribunais, com mais de 80 milhoes de processos e metadados detalhados (classes processuais, assuntos, movimentacoes, valores). Nao inclui processos em segredo de justica, garantindo conformidade com a LGPD. A API utiliza sintaxe de consulta Elasticsearch e esta disponivel em api-publica.datajud.cnj.jus.br, com acesso gratuito atraves de chave publica de API, sem necessidade de registro individual.</w:t>
      </w:r>
    </w:p>
    <w:p>
      <w:pPr>
        <w:spacing w:after="120" w:line="312"/>
        <w:ind w:firstLine="480"/>
        <w:jc w:val="both"/>
      </w:pPr>
      <w:r>
        <w:rPr>
          <w:rFonts w:ascii="Calibri" w:eastAsia="SimHei"/>
          <w:color w:val="000000"/>
          <w:sz w:val="24"/>
          <w:szCs w:val="24"/>
        </w:rPr>
        <w:t xml:space="preserve">O DataJud e a principal fonte para jurimetria e analise de litigiosidade no Brasil. Os dados permitem mapear volume de processos por tema, tribunal e regiao, identificar tendencias de judicializacao e construir indicadores preditivos de risco juridico. A estabilidade da API tem sido historicamente problematica, com mudancas periodicas de chave e indisponibilidades temporarias, o que torna recomendavel a implementacao de cache e ingesta propria para produtos comerciais.</w:t>
      </w:r>
    </w:p>
    <w:p>
      <w:pPr>
        <w:pStyle w:val="Heading2"/>
        <w:spacing w:after="160" w:before="360" w:line="312"/>
      </w:pPr>
      <w:bookmarkStart w:id="100006" w:name="_Toc100006"/>
      <w:r>
        <w:rPr>
          <w:rFonts w:ascii="Calibri" w:eastAsia="SimHei"/>
          <w:b/>
          <w:bCs/>
          <w:color w:val="0B1220"/>
          <w:sz w:val="28"/>
          <w:szCs w:val="28"/>
        </w:rPr>
        <w:t xml:space="preserve">2.5 Comex Stat / MDIC</w:t>
      </w:r>
      <w:bookmarkEnd w:id="100006"/>
    </w:p>
    <w:p>
      <w:pPr>
        <w:spacing w:after="120" w:line="312"/>
        <w:ind w:firstLine="480"/>
        <w:jc w:val="both"/>
      </w:pPr>
      <w:r>
        <w:rPr>
          <w:rFonts w:ascii="Calibri" w:eastAsia="SimHei"/>
          <w:color w:val="000000"/>
          <w:sz w:val="24"/>
          <w:szCs w:val="24"/>
        </w:rPr>
        <w:t xml:space="preserve">O Comex Stat e o sistema oficial de estatisticas de comercio exterior brasileiro, administrado pelo Ministerio do Desenvolvimento, Industria e Comercio Exterior. Disponibiliza dados de exportacao e importacao por codigo NCM, municipio, pais de destino/origem e ano, com series historicas desde 1997. A API esta disponivel em api-comexstat.mdic.gov.br/docs, com acesso gratuito e sem necessidade de autenticacao.</w:t>
      </w:r>
    </w:p>
    <w:p>
      <w:pPr>
        <w:spacing w:after="120" w:line="312"/>
        <w:ind w:firstLine="480"/>
        <w:jc w:val="both"/>
      </w:pPr>
      <w:r>
        <w:rPr>
          <w:rFonts w:ascii="Calibri" w:eastAsia="SimHei"/>
          <w:color w:val="000000"/>
          <w:sz w:val="24"/>
          <w:szCs w:val="24"/>
        </w:rPr>
        <w:t xml:space="preserve">Entretanto, e crucial notar que os dados do Comex Stat estao licenciados sob CC BY-NC-ND 4.0, o que proibexpressamente o uso comercial e a criacao de derivados sem autorizacao previa do MDIC. Isso significa que qualquer produto comercial que utilize dados de comercio exterior em sua composicao precisa buscar autorizacao do ministerio ou encontrar fontes alternativas como o IBGE PAM (Producao Agricola Municipal), PPM (Producao Pecuaria Municipal) e PIA (Producao Industrial Municipal).</w:t>
      </w:r>
    </w:p>
    <w:p>
      <w:pPr>
        <w:pStyle w:val="Heading2"/>
        <w:spacing w:after="160" w:before="360" w:line="312"/>
      </w:pPr>
      <w:bookmarkStart w:id="100007" w:name="_Toc100007"/>
      <w:r>
        <w:rPr>
          <w:rFonts w:ascii="Calibri" w:eastAsia="SimHei"/>
          <w:b/>
          <w:bCs/>
          <w:color w:val="0B1220"/>
          <w:sz w:val="28"/>
          <w:szCs w:val="28"/>
        </w:rPr>
        <w:t xml:space="preserve">2.6 Novo CAGED / MTE</w:t>
      </w:r>
      <w:bookmarkEnd w:id="100007"/>
    </w:p>
    <w:p>
      <w:pPr>
        <w:spacing w:after="120" w:line="312"/>
        <w:ind w:firstLine="480"/>
        <w:jc w:val="both"/>
      </w:pPr>
      <w:r>
        <w:rPr>
          <w:rFonts w:ascii="Calibri" w:eastAsia="SimHei"/>
          <w:color w:val="000000"/>
          <w:sz w:val="24"/>
          <w:szCs w:val="24"/>
        </w:rPr>
        <w:t xml:space="preserve">O Cadastro Geral de Empregados e Desempregados, agora rebatizado como Novo CAGED e administrado pelo Ministerio do Trabalho e Emprego, registra todas as admissoes e demissoes formais por setor (CNAE), municipio e mes. Os dados mensais permitem analisar dinamicas de emprego com granularidade geografica e setorial, sendo um dos indicadores economicos mais oportunos disponiveis no Brasil.</w:t>
      </w:r>
    </w:p>
    <w:p>
      <w:pPr>
        <w:spacing w:after="120" w:line="312"/>
        <w:ind w:firstLine="480"/>
        <w:jc w:val="both"/>
      </w:pPr>
      <w:r>
        <w:rPr>
          <w:rFonts w:ascii="Calibri" w:eastAsia="SimHei"/>
          <w:color w:val="000000"/>
          <w:sz w:val="24"/>
          <w:szCs w:val="24"/>
        </w:rPr>
        <w:t xml:space="preserve">O acesso e via download FTP no portal pdet.mte.gov.br, inteiramente gratuito e sem necessidade de autenticacao. Os dados estao disponiveis em formato CSV e representam um sinal precoce essencial para modelos de previsao economica e risco, uma vez que contratacoes e demissoes tendem a antecipar movimentos nos indicadores de renda, consumo e saude.</w:t>
      </w:r>
    </w:p>
    <w:p>
      <w:pPr>
        <w:pStyle w:val="Heading2"/>
        <w:spacing w:after="160" w:before="360" w:line="312"/>
      </w:pPr>
      <w:bookmarkStart w:id="100008" w:name="_Toc100008"/>
      <w:r>
        <w:rPr>
          <w:rFonts w:ascii="Calibri" w:eastAsia="SimHei"/>
          <w:b/>
          <w:bCs/>
          <w:color w:val="0B1220"/>
          <w:sz w:val="28"/>
          <w:szCs w:val="28"/>
        </w:rPr>
        <w:t xml:space="preserve">2.7 INEP - Instituto Nacional de Estudos e Pesquisas Educacionais</w:t>
      </w:r>
      <w:bookmarkEnd w:id="100008"/>
    </w:p>
    <w:p>
      <w:pPr>
        <w:spacing w:after="120" w:line="312"/>
        <w:ind w:firstLine="480"/>
        <w:jc w:val="both"/>
      </w:pPr>
      <w:r>
        <w:rPr>
          <w:rFonts w:ascii="Calibri" w:eastAsia="SimHei"/>
          <w:color w:val="000000"/>
          <w:sz w:val="24"/>
          <w:szCs w:val="24"/>
        </w:rPr>
        <w:t xml:space="preserve">O INEP e responsavel pelos microdados do Censo da Educacao Superior, ENEM (Exame Nacional do Ensino Medio), Enade (Exame Nacional de Desempenho de Estudantes) e Censo Escolar. Sao aproximadamente 15 conjuntos de microdados para pesquisa, disponiveis em inep.gov.br/microdados, com acesso gratuito via download e sem necessidade de autenticacao. Os microdados foram reformulados recentemente para garantir conformidade com a LGPD, com a ANPD confirmando que os riscos de reidentificacao foram adequadamente tratados.</w:t>
      </w:r>
    </w:p>
    <w:p>
      <w:pPr>
        <w:spacing w:after="120" w:line="312"/>
        <w:ind w:firstLine="480"/>
        <w:jc w:val="both"/>
      </w:pPr>
      <w:r>
        <w:rPr>
          <w:rFonts w:ascii="Calibri" w:eastAsia="SimHei"/>
          <w:color w:val="000000"/>
          <w:sz w:val="24"/>
          <w:szCs w:val="24"/>
        </w:rPr>
        <w:t xml:space="preserve">Os dados do INEP sao particularmente valiosos como proxy de renda e classe social (densidade de escolas particulares em um bairro e um indicador poderoso de poder aquisitivo) e para analise de capital humano e demanda por mao de obra qualificada. O Censo da Educacao Superior, por exemplo, permite mapear a oferta de cursos por regiao e area do conhecimento, cruzando com dados de emprego para identificar descompassos entre formacao e demanda de mercado.</w:t>
      </w:r>
    </w:p>
    <w:p>
      <w:pPr>
        <w:pStyle w:val="Heading2"/>
        <w:spacing w:after="160" w:before="360" w:line="312"/>
      </w:pPr>
      <w:bookmarkStart w:id="100009" w:name="_Toc100009"/>
      <w:r>
        <w:rPr>
          <w:rFonts w:ascii="Calibri" w:eastAsia="SimHei"/>
          <w:b/>
          <w:bCs/>
          <w:color w:val="0B1220"/>
          <w:sz w:val="28"/>
          <w:szCs w:val="28"/>
        </w:rPr>
        <w:t xml:space="preserve">2.8 INMET - Instituto Nacional de Meteorologia</w:t>
      </w:r>
      <w:bookmarkEnd w:id="100009"/>
    </w:p>
    <w:p>
      <w:pPr>
        <w:spacing w:after="120" w:line="312"/>
        <w:ind w:firstLine="480"/>
        <w:jc w:val="both"/>
      </w:pPr>
      <w:r>
        <w:rPr>
          <w:rFonts w:ascii="Calibri" w:eastAsia="SimHei"/>
          <w:color w:val="000000"/>
          <w:sz w:val="24"/>
          <w:szCs w:val="24"/>
        </w:rPr>
        <w:t xml:space="preserve">O INMET opera estacoes meteorologicas automaticas que registram temperatura, umidade, vento, precipitacao e pressao atmosferica em resolucao horaria, com series historicas desde 1961. O portal BDMEP (bdmep.inmet.gov.br) disponibiliza dados historicos de forma gratuita, sem necessidade de autenticacao. Adicionalmente, o portal dadosabertos do INMET (portal.inmet.gov.br/dadosabertos) oferece API REST para acesso a dados em tempo real, embora exija registro simplificado. Uma API nao-oficial (apitempo.inmet.gov.br) tambem e utilizada pela comunidade, mas com estabilidade imprevisivel.</w:t>
      </w:r>
    </w:p>
    <w:p>
      <w:pPr>
        <w:spacing w:after="120" w:line="312"/>
        <w:ind w:firstLine="480"/>
        <w:jc w:val="both"/>
      </w:pPr>
      <w:r>
        <w:rPr>
          <w:rFonts w:ascii="Calibri" w:eastAsia="SimHei"/>
          <w:color w:val="000000"/>
          <w:sz w:val="24"/>
          <w:szCs w:val="24"/>
        </w:rPr>
        <w:t xml:space="preserve">Os dados meteorologicos do INMET sao fundamentais para modelos de previsao de surtos de doencas respiratorias, risco agricola, analise de desastres naturais e qualquer aplicacao que necessite de contexto climatico temporal. A resolucao espacial e limitada as localidades com estacoes, o que exige tecnicas de interpolacao espacial para cobertura nacional completa.</w:t>
      </w:r>
    </w:p>
    <w:p>
      <w:pPr>
        <w:pStyle w:val="Heading2"/>
        <w:spacing w:after="160" w:before="360" w:line="312"/>
      </w:pPr>
      <w:bookmarkStart w:id="100010" w:name="_Toc100010"/>
      <w:r>
        <w:rPr>
          <w:rFonts w:ascii="Calibri" w:eastAsia="SimHei"/>
          <w:b/>
          <w:bCs/>
          <w:color w:val="0B1220"/>
          <w:sz w:val="28"/>
          <w:szCs w:val="28"/>
        </w:rPr>
        <w:t xml:space="preserve">2.9 INPE - Instituto Nacional de Pesquisas Espaciais</w:t>
      </w:r>
      <w:bookmarkEnd w:id="100010"/>
    </w:p>
    <w:p>
      <w:pPr>
        <w:spacing w:after="120" w:line="312"/>
        <w:ind w:firstLine="480"/>
        <w:jc w:val="both"/>
      </w:pPr>
      <w:r>
        <w:rPr>
          <w:rFonts w:ascii="Calibri" w:eastAsia="SimHei"/>
          <w:color w:val="000000"/>
          <w:sz w:val="24"/>
          <w:szCs w:val="24"/>
        </w:rPr>
        <w:t xml:space="preserve">O INPE oferece dados de monitoramento ambiental por satelite, com destaque para o TerraBrasilis (terrabrasilis.dpi.inpe.br), que disponibiliza alertas de desmatamento em tempo quase real (sistema DETER) e deteccao de focos de incendio (sistema FIRMS). O portal Queimadas (queimadas.dgi.inpe.br) fornece dados de focos de queimadas e estimativas de PM2.5 a partir de imagens de satelite. Todas as APIs sao gratuitas, sem necessidade de autenticacao, nos formatos REST e OGC (Open Geospatial Consortium).</w:t>
      </w:r>
    </w:p>
    <w:p>
      <w:pPr>
        <w:spacing w:after="120" w:line="312"/>
        <w:ind w:firstLine="480"/>
        <w:jc w:val="both"/>
      </w:pPr>
      <w:r>
        <w:rPr>
          <w:rFonts w:ascii="Calibri" w:eastAsia="SimHei"/>
          <w:color w:val="000000"/>
          <w:sz w:val="24"/>
          <w:szCs w:val="24"/>
        </w:rPr>
        <w:t xml:space="preserve">Os dados do INPE sao essenciais para aplicacoes de inteligencia ambiental, conformidade ESG (Regulamento Europeu de Deforestacao - EUDR 2025-2026), precificacao de risco agricola e monitoramento de cadeias produtivas. E importante ressaltar que a redistribuicao de rasters brutos e proibida, mas analises derivadas sao permitidas. A atribuicao da fonte e obrigatoria.</w:t>
      </w:r>
    </w:p>
    <w:p>
      <w:pPr>
        <w:pStyle w:val="Heading2"/>
        <w:spacing w:after="160" w:before="360" w:line="312"/>
      </w:pPr>
      <w:bookmarkStart w:id="100011" w:name="_Toc100011"/>
      <w:r>
        <w:rPr>
          <w:rFonts w:ascii="Calibri" w:eastAsia="SimHei"/>
          <w:b/>
          <w:bCs/>
          <w:color w:val="0B1220"/>
          <w:sz w:val="28"/>
          <w:szCs w:val="28"/>
        </w:rPr>
        <w:t xml:space="preserve">2.10 OpenStreetMap / Overpass API</w:t>
      </w:r>
      <w:bookmarkEnd w:id="100011"/>
    </w:p>
    <w:p>
      <w:pPr>
        <w:spacing w:after="120" w:line="312"/>
        <w:ind w:firstLine="480"/>
        <w:jc w:val="both"/>
      </w:pPr>
      <w:r>
        <w:rPr>
          <w:rFonts w:ascii="Calibri" w:eastAsia="SimHei"/>
          <w:color w:val="000000"/>
          <w:sz w:val="24"/>
          <w:szCs w:val="24"/>
        </w:rPr>
        <w:t xml:space="preserve">O OpenStreetMap e um mapa vetorial global colaborativo que contém pontos de interesse, rede de transportes, edificacoes, uso do solo e infraestrutura urbana. A Overpass API (overpass-api.de) permite consultas complexas sobre o mapa, retornando dados em formato JSON ou GeoJSON, com acesso gratuito e sem necessidade de chave de API. A licenca e ODbL (Open Database License), que exige atribuicao e, para bases de dados derivadas, compartilhamento sob a mesma licenca (share-alike).</w:t>
      </w:r>
    </w:p>
    <w:p>
      <w:pPr>
        <w:spacing w:after="120" w:line="312"/>
        <w:ind w:firstLine="480"/>
        <w:jc w:val="both"/>
      </w:pPr>
      <w:r>
        <w:rPr>
          <w:rFonts w:ascii="Calibri" w:eastAsia="SimHei"/>
          <w:color w:val="000000"/>
          <w:sz w:val="24"/>
          <w:szCs w:val="24"/>
        </w:rPr>
        <w:t xml:space="preserve">O OpenStreetMap e particularmente util como complemento geoespacial para dados socioeconomicos, permitindo mapear acesso a transporte publico, densidade comercial, infraestrutura de saude e educacao, e identificar padroes urbanos que explicam variacoes em indicadores economicos e de saude.</w:t>
      </w:r>
    </w:p>
    <w:p>
      <w:pPr>
        <w:pStyle w:val="Heading2"/>
        <w:spacing w:after="160" w:before="360" w:line="312"/>
      </w:pPr>
      <w:bookmarkStart w:id="100012" w:name="_Toc100012"/>
      <w:r>
        <w:rPr>
          <w:rFonts w:ascii="Calibri" w:eastAsia="SimHei"/>
          <w:b/>
          <w:bCs/>
          <w:color w:val="0B1220"/>
          <w:sz w:val="28"/>
          <w:szCs w:val="28"/>
        </w:rPr>
        <w:t xml:space="preserve">2.11 Receita Federal / CNPJ</w:t>
      </w:r>
      <w:bookmarkEnd w:id="100012"/>
    </w:p>
    <w:p>
      <w:pPr>
        <w:spacing w:after="120" w:line="312"/>
        <w:ind w:firstLine="480"/>
        <w:jc w:val="both"/>
      </w:pPr>
      <w:r>
        <w:rPr>
          <w:rFonts w:ascii="Calibri" w:eastAsia="SimHei"/>
          <w:color w:val="000000"/>
          <w:sz w:val="24"/>
          <w:szCs w:val="24"/>
        </w:rPr>
        <w:t xml:space="preserve">A Receita Federal disponibiliza dados publicos de cadastro de empresas, incluindo razao social, CNAEs, endereco, situacao cadastral, socios e data de abertura. Os dados sao publicos por forca legal e podem ser obtidos via download em massa nos formatos CSV e JSON. Terceiros como a BrasilAPI oferecem wrappers convenientes para acesso programatico. Os dados sao gratuitos, mas o download em massa exige infraestrutura adequada devido ao volume (milhoes de registros).</w:t>
      </w:r>
    </w:p>
    <w:p>
      <w:pPr>
        <w:spacing w:after="120" w:line="312"/>
        <w:ind w:firstLine="480"/>
        <w:jc w:val="both"/>
      </w:pPr>
      <w:r>
        <w:rPr>
          <w:rFonts w:ascii="Calibri" w:eastAsia="SimHei"/>
          <w:color w:val="000000"/>
          <w:sz w:val="24"/>
          <w:szCs w:val="24"/>
        </w:rPr>
        <w:t xml:space="preserve">A combinacao de dados CNPJ com dados do DataJud, CAGED e BCB permite construir perfis de risco empresarial abrangentes, incluindo historico de litigios, dinamica de emprego e indicadores financeiros agregados por municipio e setor.</w:t>
      </w:r>
    </w:p>
    <w:p>
      <w:pPr>
        <w:pStyle w:val="Heading2"/>
        <w:spacing w:after="160" w:before="360" w:line="312"/>
      </w:pPr>
      <w:bookmarkStart w:id="100013" w:name="_Toc100013"/>
      <w:r>
        <w:rPr>
          <w:rFonts w:ascii="Calibri" w:eastAsia="SimHei"/>
          <w:b/>
          <w:bCs/>
          <w:color w:val="0B1220"/>
          <w:sz w:val="28"/>
          <w:szCs w:val="28"/>
        </w:rPr>
        <w:t xml:space="preserve">2.12 SICAR / CAR - Cadastro Ambiental Rural</w:t>
      </w:r>
      <w:bookmarkEnd w:id="100013"/>
    </w:p>
    <w:p>
      <w:pPr>
        <w:spacing w:after="120" w:line="312"/>
        <w:ind w:firstLine="480"/>
        <w:jc w:val="both"/>
      </w:pPr>
      <w:r>
        <w:rPr>
          <w:rFonts w:ascii="Calibri" w:eastAsia="SimHei"/>
          <w:color w:val="000000"/>
          <w:sz w:val="24"/>
          <w:szCs w:val="24"/>
        </w:rPr>
        <w:t xml:space="preserve">O SICAR e o sistema do Cadastro Ambiental Rural, que registra propriedades rurais com seus limites geograficos e informacoes de uso do solo. Os dados podem ser obtidos por download publico em car.gov.br, com acesso gratuito e em massa. Entretanto, o uso comercial dos dados do CAR requer notificacao previa ao Ministerio da Agricultura (MAPA). Os dados sao essenciais para analises de conformidade ambiental, rastreabilidade de cadeias produtivas agricolas e verificacao de origem para atender regulacoes como o EUDR.</w:t>
      </w:r>
    </w:p>
    <w:p>
      <w:pPr>
        <w:spacing w:after="200"/>
      </w:pPr>
    </w:p>
    <w:p>
      <w:pPr>
        <w:keepNext/>
        <w:spacing w:after="200" w:before="200"/>
      </w:pPr>
      <w:r>
        <w:rPr>
          <w:rFonts w:ascii="Calibri" w:eastAsia="SimHei"/>
          <w:b/>
          <w:bCs/>
          <w:color w:val="000000"/>
          <w:sz w:val="22"/>
          <w:szCs w:val="22"/>
        </w:rPr>
        <w:t xml:space="preserve">Tabela 1: Resumo das APIs Publicas Brasileiras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pct" w:w="15%"/>
            <w:tcBorders>
              <w:top w:val="single" w:color="529286" w:sz="2"/>
              <w:left w:val="none"/>
              <w:bottom w:val="single" w:color="529286" w:sz="2"/>
              <w:right w:val="none"/>
            </w:tcBorders>
            <w:shd w:fill="529286" w:val="clear"/>
            <w:tcMar>
              <w:top w:type="dxa" w:w="60"/>
              <w:left w:type="dxa" w:w="120"/>
              <w:bottom w:type="dxa" w:w="60"/>
              <w:right w:type="dxa" w:w="120"/>
            </w:tcMar>
            <w:vAlign w:val="center"/>
          </w:tcPr>
          <w:p>
            <w:pPr>
              <w:spacing w:line="276"/>
              <w:jc w:val="center"/>
            </w:pPr>
            <w:r>
              <w:rPr>
                <w:rFonts w:ascii="Calibri" w:eastAsia="SimHei"/>
                <w:b/>
                <w:bCs/>
                <w:color w:val="FFFFFF"/>
                <w:sz w:val="20"/>
                <w:szCs w:val="20"/>
              </w:rPr>
              <w:t xml:space="preserve">Fonte</w:t>
            </w:r>
          </w:p>
        </w:tc>
        <w:tc>
          <w:tcPr>
            <w:tcW w:type="pct" w:w="30%"/>
            <w:tcBorders>
              <w:top w:val="single" w:color="529286" w:sz="2"/>
              <w:left w:val="none"/>
              <w:bottom w:val="single" w:color="529286" w:sz="2"/>
              <w:right w:val="none"/>
            </w:tcBorders>
            <w:shd w:fill="529286" w:val="clear"/>
            <w:tcMar>
              <w:top w:type="dxa" w:w="60"/>
              <w:left w:type="dxa" w:w="120"/>
              <w:bottom w:type="dxa" w:w="60"/>
              <w:right w:type="dxa" w:w="120"/>
            </w:tcMar>
            <w:vAlign w:val="center"/>
          </w:tcPr>
          <w:p>
            <w:pPr>
              <w:spacing w:line="276"/>
              <w:jc w:val="center"/>
            </w:pPr>
            <w:r>
              <w:rPr>
                <w:rFonts w:ascii="Calibri" w:eastAsia="SimHei"/>
                <w:b/>
                <w:bCs/>
                <w:color w:val="FFFFFF"/>
                <w:sz w:val="20"/>
                <w:szCs w:val="20"/>
              </w:rPr>
              <w:t xml:space="preserve">Dados Principais</w:t>
            </w:r>
          </w:p>
        </w:tc>
        <w:tc>
          <w:tcPr>
            <w:tcW w:type="pct" w:w="15%"/>
            <w:tcBorders>
              <w:top w:val="single" w:color="529286" w:sz="2"/>
              <w:left w:val="none"/>
              <w:bottom w:val="single" w:color="529286" w:sz="2"/>
              <w:right w:val="none"/>
            </w:tcBorders>
            <w:shd w:fill="529286" w:val="clear"/>
            <w:tcMar>
              <w:top w:type="dxa" w:w="60"/>
              <w:left w:type="dxa" w:w="120"/>
              <w:bottom w:type="dxa" w:w="60"/>
              <w:right w:type="dxa" w:w="120"/>
            </w:tcMar>
            <w:vAlign w:val="center"/>
          </w:tcPr>
          <w:p>
            <w:pPr>
              <w:spacing w:line="276"/>
              <w:jc w:val="center"/>
            </w:pPr>
            <w:r>
              <w:rPr>
                <w:rFonts w:ascii="Calibri" w:eastAsia="SimHei"/>
                <w:b/>
                <w:bCs/>
                <w:color w:val="FFFFFF"/>
                <w:sz w:val="20"/>
                <w:szCs w:val="20"/>
              </w:rPr>
              <w:t xml:space="preserve">Acesso</w:t>
            </w:r>
          </w:p>
        </w:tc>
        <w:tc>
          <w:tcPr>
            <w:tcW w:type="pct" w:w="18%"/>
            <w:tcBorders>
              <w:top w:val="single" w:color="529286" w:sz="2"/>
              <w:left w:val="none"/>
              <w:bottom w:val="single" w:color="529286" w:sz="2"/>
              <w:right w:val="none"/>
            </w:tcBorders>
            <w:shd w:fill="529286" w:val="clear"/>
            <w:tcMar>
              <w:top w:type="dxa" w:w="60"/>
              <w:left w:type="dxa" w:w="120"/>
              <w:bottom w:type="dxa" w:w="60"/>
              <w:right w:type="dxa" w:w="120"/>
            </w:tcMar>
            <w:vAlign w:val="center"/>
          </w:tcPr>
          <w:p>
            <w:pPr>
              <w:spacing w:line="276"/>
              <w:jc w:val="center"/>
            </w:pPr>
            <w:r>
              <w:rPr>
                <w:rFonts w:ascii="Calibri" w:eastAsia="SimHei"/>
                <w:b/>
                <w:bCs/>
                <w:color w:val="FFFFFF"/>
                <w:sz w:val="20"/>
                <w:szCs w:val="20"/>
              </w:rPr>
              <w:t xml:space="preserve">Custo/Auth</w:t>
            </w:r>
          </w:p>
        </w:tc>
        <w:tc>
          <w:tcPr>
            <w:tcW w:type="pct" w:w="22%"/>
            <w:tcBorders>
              <w:top w:val="single" w:color="529286" w:sz="2"/>
              <w:left w:val="none"/>
              <w:bottom w:val="single" w:color="529286" w:sz="2"/>
              <w:right w:val="none"/>
            </w:tcBorders>
            <w:shd w:fill="529286" w:val="clear"/>
            <w:tcMar>
              <w:top w:type="dxa" w:w="60"/>
              <w:left w:type="dxa" w:w="120"/>
              <w:bottom w:type="dxa" w:w="60"/>
              <w:right w:type="dxa" w:w="120"/>
            </w:tcMar>
            <w:vAlign w:val="center"/>
          </w:tcPr>
          <w:p>
            <w:pPr>
              <w:spacing w:line="276"/>
              <w:jc w:val="center"/>
            </w:pPr>
            <w:r>
              <w:rPr>
                <w:rFonts w:ascii="Calibri" w:eastAsia="SimHei"/>
                <w:b/>
                <w:bCs/>
                <w:color w:val="FFFFFF"/>
                <w:sz w:val="20"/>
                <w:szCs w:val="20"/>
              </w:rPr>
              <w:t xml:space="preserve">Restricoes</w:t>
            </w:r>
          </w:p>
        </w:tc>
      </w:tr>
      <w:tr>
        <w:trPr>
          <w:cantSplit/>
        </w:trPr>
        <w:tc>
          <w:tcPr>
            <w:tcW w:type="pct" w:w="15%"/>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IBGE Agregados</w:t>
            </w:r>
          </w:p>
        </w:tc>
        <w:tc>
          <w:tcPr>
            <w:tcW w:type="pct" w:w="30%"/>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Demografia, renda, PIB, Censo</w:t>
            </w:r>
          </w:p>
        </w:tc>
        <w:tc>
          <w:tcPr>
            <w:tcW w:type="pct" w:w="15%"/>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REST/JSON</w:t>
            </w:r>
          </w:p>
        </w:tc>
        <w:tc>
          <w:tcPr>
            <w:tcW w:type="pct" w:w="18%"/>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Gratuito, sem auth</w:t>
            </w:r>
          </w:p>
        </w:tc>
        <w:tc>
          <w:tcPr>
            <w:tcW w:type="pct" w:w="22%"/>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Sigilo estat. (Lei 5.534)</w:t>
            </w:r>
          </w:p>
        </w:tc>
      </w:tr>
      <w:tr>
        <w:trPr>
          <w:cantSplit/>
        </w:trPr>
        <w:tc>
          <w:tcPr>
            <w:tcW w:type="pct" w:w="15%"/>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IBGE Malhas</w:t>
            </w:r>
          </w:p>
        </w:tc>
        <w:tc>
          <w:tcPr>
            <w:tcW w:type="pct" w:w="30%"/>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Limites geograficos, biomas</w:t>
            </w:r>
          </w:p>
        </w:tc>
        <w:tc>
          <w:tcPr>
            <w:tcW w:type="pct" w:w="15%"/>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Download</w:t>
            </w:r>
          </w:p>
        </w:tc>
        <w:tc>
          <w:tcPr>
            <w:tcW w:type="pct" w:w="18%"/>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Gratuito</w:t>
            </w:r>
          </w:p>
        </w:tc>
        <w:tc>
          <w:tcPr>
            <w:tcW w:type="pct" w:w="22%"/>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Atribuicao obrigatoria</w:t>
            </w:r>
          </w:p>
        </w:tc>
      </w:tr>
      <w:tr>
        <w:trPr>
          <w:cantSplit/>
        </w:trPr>
        <w:tc>
          <w:tcPr>
            <w:tcW w:type="pct" w:w="15%"/>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BCB SGS</w:t>
            </w:r>
          </w:p>
        </w:tc>
        <w:tc>
          <w:tcPr>
            <w:tcW w:type="pct" w:w="30%"/>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800k+ series macroeconomicas</w:t>
            </w:r>
          </w:p>
        </w:tc>
        <w:tc>
          <w:tcPr>
            <w:tcW w:type="pct" w:w="15%"/>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REST/JSON</w:t>
            </w:r>
          </w:p>
        </w:tc>
        <w:tc>
          <w:tcPr>
            <w:tcW w:type="pct" w:w="18%"/>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Gratuito, sem auth</w:t>
            </w:r>
          </w:p>
        </w:tc>
        <w:tc>
          <w:tcPr>
            <w:tcW w:type="pct" w:w="22%"/>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Sem restricoes agregado</w:t>
            </w:r>
          </w:p>
        </w:tc>
      </w:tr>
      <w:tr>
        <w:trPr>
          <w:cantSplit/>
        </w:trPr>
        <w:tc>
          <w:tcPr>
            <w:tcW w:type="pct" w:w="15%"/>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BCB ESTBAN</w:t>
            </w:r>
          </w:p>
        </w:tc>
        <w:tc>
          <w:tcPr>
            <w:tcW w:type="pct" w:w="30%"/>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Credito/agencias por municipio</w:t>
            </w:r>
          </w:p>
        </w:tc>
        <w:tc>
          <w:tcPr>
            <w:tcW w:type="pct" w:w="15%"/>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REST/JSON</w:t>
            </w:r>
          </w:p>
        </w:tc>
        <w:tc>
          <w:tcPr>
            <w:tcW w:type="pct" w:w="18%"/>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Gratuito, sem auth</w:t>
            </w:r>
          </w:p>
        </w:tc>
        <w:tc>
          <w:tcPr>
            <w:tcW w:type="pct" w:w="22%"/>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Sem restricoes agregado</w:t>
            </w:r>
          </w:p>
        </w:tc>
      </w:tr>
      <w:tr>
        <w:trPr>
          <w:cantSplit/>
        </w:trPr>
        <w:tc>
          <w:tcPr>
            <w:tcW w:type="pct" w:w="15%"/>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DATASUS</w:t>
            </w:r>
          </w:p>
        </w:tc>
        <w:tc>
          <w:tcPr>
            <w:tcW w:type="pct" w:w="30%"/>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Saude publica, SIH/SIA/CNES</w:t>
            </w:r>
          </w:p>
        </w:tc>
        <w:tc>
          <w:tcPr>
            <w:tcW w:type="pct" w:w="15%"/>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FTP/TabNET</w:t>
            </w:r>
          </w:p>
        </w:tc>
        <w:tc>
          <w:tcPr>
            <w:tcW w:type="pct" w:w="18%"/>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Gratuito, sem auth</w:t>
            </w:r>
          </w:p>
        </w:tc>
        <w:tc>
          <w:tcPr>
            <w:tcW w:type="pct" w:w="22%"/>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Anonimizado</w:t>
            </w:r>
          </w:p>
        </w:tc>
      </w:tr>
      <w:tr>
        <w:trPr>
          <w:cantSplit/>
        </w:trPr>
        <w:tc>
          <w:tcPr>
            <w:tcW w:type="pct" w:w="15%"/>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DataJud</w:t>
            </w:r>
          </w:p>
        </w:tc>
        <w:tc>
          <w:tcPr>
            <w:tcW w:type="pct" w:w="30%"/>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80M+ processos, 90 tribunais</w:t>
            </w:r>
          </w:p>
        </w:tc>
        <w:tc>
          <w:tcPr>
            <w:tcW w:type="pct" w:w="15%"/>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REST/Elastic</w:t>
            </w:r>
          </w:p>
        </w:tc>
        <w:tc>
          <w:tcPr>
            <w:tcW w:type="pct" w:w="18%"/>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Gratuito, chave pub.</w:t>
            </w:r>
          </w:p>
        </w:tc>
        <w:tc>
          <w:tcPr>
            <w:tcW w:type="pct" w:w="22%"/>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Sem segredo justica</w:t>
            </w:r>
          </w:p>
        </w:tc>
      </w:tr>
      <w:tr>
        <w:trPr>
          <w:cantSplit/>
        </w:trPr>
        <w:tc>
          <w:tcPr>
            <w:tcW w:type="pct" w:w="15%"/>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Comex Stat</w:t>
            </w:r>
          </w:p>
        </w:tc>
        <w:tc>
          <w:tcPr>
            <w:tcW w:type="pct" w:w="30%"/>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Import/Export por NCM, 1997+</w:t>
            </w:r>
          </w:p>
        </w:tc>
        <w:tc>
          <w:tcPr>
            <w:tcW w:type="pct" w:w="15%"/>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REST</w:t>
            </w:r>
          </w:p>
        </w:tc>
        <w:tc>
          <w:tcPr>
            <w:tcW w:type="pct" w:w="18%"/>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Gratuito, sem auth</w:t>
            </w:r>
          </w:p>
        </w:tc>
        <w:tc>
          <w:tcPr>
            <w:tcW w:type="pct" w:w="22%"/>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CC BY-NC-ND 4.0</w:t>
            </w:r>
          </w:p>
        </w:tc>
      </w:tr>
      <w:tr>
        <w:trPr>
          <w:cantSplit/>
        </w:trPr>
        <w:tc>
          <w:tcPr>
            <w:tcW w:type="pct" w:w="15%"/>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Novo CAGED</w:t>
            </w:r>
          </w:p>
        </w:tc>
        <w:tc>
          <w:tcPr>
            <w:tcW w:type="pct" w:w="30%"/>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Admissoes/demissoes CNAE</w:t>
            </w:r>
          </w:p>
        </w:tc>
        <w:tc>
          <w:tcPr>
            <w:tcW w:type="pct" w:w="15%"/>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FTP/CSV</w:t>
            </w:r>
          </w:p>
        </w:tc>
        <w:tc>
          <w:tcPr>
            <w:tcW w:type="pct" w:w="18%"/>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Gratuito, sem auth</w:t>
            </w:r>
          </w:p>
        </w:tc>
        <w:tc>
          <w:tcPr>
            <w:tcW w:type="pct" w:w="22%"/>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Sem restricoes</w:t>
            </w:r>
          </w:p>
        </w:tc>
      </w:tr>
      <w:tr>
        <w:trPr>
          <w:cantSplit/>
        </w:trPr>
        <w:tc>
          <w:tcPr>
            <w:tcW w:type="pct" w:w="15%"/>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INEP</w:t>
            </w:r>
          </w:p>
        </w:tc>
        <w:tc>
          <w:tcPr>
            <w:tcW w:type="pct" w:w="30%"/>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ENEM, Censo Superior, Enade</w:t>
            </w:r>
          </w:p>
        </w:tc>
        <w:tc>
          <w:tcPr>
            <w:tcW w:type="pct" w:w="15%"/>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Download</w:t>
            </w:r>
          </w:p>
        </w:tc>
        <w:tc>
          <w:tcPr>
            <w:tcW w:type="pct" w:w="18%"/>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Gratuito, sem auth</w:t>
            </w:r>
          </w:p>
        </w:tc>
        <w:tc>
          <w:tcPr>
            <w:tcW w:type="pct" w:w="22%"/>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Microdados LGPD-ok</w:t>
            </w:r>
          </w:p>
        </w:tc>
      </w:tr>
      <w:tr>
        <w:trPr>
          <w:cantSplit/>
        </w:trPr>
        <w:tc>
          <w:tcPr>
            <w:tcW w:type="pct" w:w="15%"/>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INMET</w:t>
            </w:r>
          </w:p>
        </w:tc>
        <w:tc>
          <w:tcPr>
            <w:tcW w:type="pct" w:w="30%"/>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Estacoes meteorologicas, 1961+</w:t>
            </w:r>
          </w:p>
        </w:tc>
        <w:tc>
          <w:tcPr>
            <w:tcW w:type="pct" w:w="15%"/>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BDMEP/REST</w:t>
            </w:r>
          </w:p>
        </w:tc>
        <w:tc>
          <w:tcPr>
            <w:tcW w:type="pct" w:w="18%"/>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Gratuito</w:t>
            </w:r>
          </w:p>
        </w:tc>
        <w:tc>
          <w:tcPr>
            <w:tcW w:type="pct" w:w="22%"/>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Atribuicao obrigatoria</w:t>
            </w:r>
          </w:p>
        </w:tc>
      </w:tr>
      <w:tr>
        <w:trPr>
          <w:cantSplit/>
        </w:trPr>
        <w:tc>
          <w:tcPr>
            <w:tcW w:type="pct" w:w="15%"/>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INPE</w:t>
            </w:r>
          </w:p>
        </w:tc>
        <w:tc>
          <w:tcPr>
            <w:tcW w:type="pct" w:w="30%"/>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Desmatamento, queimadas</w:t>
            </w:r>
          </w:p>
        </w:tc>
        <w:tc>
          <w:tcPr>
            <w:tcW w:type="pct" w:w="15%"/>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REST/OGC</w:t>
            </w:r>
          </w:p>
        </w:tc>
        <w:tc>
          <w:tcPr>
            <w:tcW w:type="pct" w:w="18%"/>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Gratuito, sem auth</w:t>
            </w:r>
          </w:p>
        </w:tc>
        <w:tc>
          <w:tcPr>
            <w:tcW w:type="pct" w:w="22%"/>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Nao redistribuir raster</w:t>
            </w:r>
          </w:p>
        </w:tc>
      </w:tr>
      <w:tr>
        <w:trPr>
          <w:cantSplit/>
        </w:trPr>
        <w:tc>
          <w:tcPr>
            <w:tcW w:type="pct" w:w="15%"/>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OSM/Overpass</w:t>
            </w:r>
          </w:p>
        </w:tc>
        <w:tc>
          <w:tcPr>
            <w:tcW w:type="pct" w:w="30%"/>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Mapa vetorial global, POIs</w:t>
            </w:r>
          </w:p>
        </w:tc>
        <w:tc>
          <w:tcPr>
            <w:tcW w:type="pct" w:w="15%"/>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REST/JSON</w:t>
            </w:r>
          </w:p>
        </w:tc>
        <w:tc>
          <w:tcPr>
            <w:tcW w:type="pct" w:w="18%"/>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Gratuito</w:t>
            </w:r>
          </w:p>
        </w:tc>
        <w:tc>
          <w:tcPr>
            <w:tcW w:type="pct" w:w="22%"/>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ODbL (share-alike)</w:t>
            </w:r>
          </w:p>
        </w:tc>
      </w:tr>
      <w:tr>
        <w:trPr>
          <w:cantSplit/>
        </w:trPr>
        <w:tc>
          <w:tcPr>
            <w:tcW w:type="pct" w:w="15%"/>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Receita/CNPJ</w:t>
            </w:r>
          </w:p>
        </w:tc>
        <w:tc>
          <w:tcPr>
            <w:tcW w:type="pct" w:w="30%"/>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Cadastro empresas, socios</w:t>
            </w:r>
          </w:p>
        </w:tc>
        <w:tc>
          <w:tcPr>
            <w:tcW w:type="pct" w:w="15%"/>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Download/CSV</w:t>
            </w:r>
          </w:p>
        </w:tc>
        <w:tc>
          <w:tcPr>
            <w:tcW w:type="pct" w:w="18%"/>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Gratuito</w:t>
            </w:r>
          </w:p>
        </w:tc>
        <w:tc>
          <w:tcPr>
            <w:tcW w:type="pct" w:w="22%"/>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Dados publicos</w:t>
            </w:r>
          </w:p>
        </w:tc>
      </w:tr>
      <w:tr>
        <w:trPr>
          <w:cantSplit/>
        </w:trPr>
        <w:tc>
          <w:tcPr>
            <w:tcW w:type="pct" w:w="15%"/>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SICAR/CAR</w:t>
            </w:r>
          </w:p>
        </w:tc>
        <w:tc>
          <w:tcPr>
            <w:tcW w:type="pct" w:w="30%"/>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Propriedades rurais, limites</w:t>
            </w:r>
          </w:p>
        </w:tc>
        <w:tc>
          <w:tcPr>
            <w:tcW w:type="pct" w:w="15%"/>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Download</w:t>
            </w:r>
          </w:p>
        </w:tc>
        <w:tc>
          <w:tcPr>
            <w:tcW w:type="pct" w:w="18%"/>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Gratuito</w:t>
            </w:r>
          </w:p>
        </w:tc>
        <w:tc>
          <w:tcPr>
            <w:tcW w:type="pct" w:w="22%"/>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Notificar MAPA p/ comercial</w:t>
            </w:r>
          </w:p>
        </w:tc>
      </w:tr>
    </w:tbl>
    <w:p>
      <w:pPr>
        <w:spacing w:after="200"/>
      </w:pPr>
    </w:p>
    <w:p>
      <w:pPr>
        <w:pStyle w:val="Heading1"/>
        <w:spacing w:after="240" w:before="480" w:line="312"/>
      </w:pPr>
      <w:bookmarkStart w:id="100014" w:name="_Toc100014"/>
      <w:r>
        <w:rPr>
          <w:rFonts w:ascii="Calibri" w:eastAsia="SimHei"/>
          <w:b/>
          <w:bCs/>
          <w:color w:val="0B1220"/>
          <w:sz w:val="32"/>
          <w:szCs w:val="32"/>
        </w:rPr>
        <w:t xml:space="preserve">Capitulo 3: Catalogo de APIs Internacionais</w:t>
      </w:r>
      <w:bookmarkEnd w:id="100014"/>
    </w:p>
    <w:p>
      <w:pPr>
        <w:spacing w:after="120" w:line="312"/>
        <w:ind w:firstLine="480"/>
        <w:jc w:val="both"/>
      </w:pPr>
      <w:r>
        <w:rPr>
          <w:rFonts w:ascii="Calibri" w:eastAsia="SimHei"/>
          <w:color w:val="000000"/>
          <w:sz w:val="24"/>
          <w:szCs w:val="24"/>
        </w:rPr>
        <w:t xml:space="preserve">Alem do rico ecossistema brasileiro, diversas APIs internacionais fornecem dados complementares que ampliam significativamente o escopo de analises possiveis. Dados macroeconomicos globais do Banco Mundial e FMI, comercio exterior da ONU, saude da OMS, clima da NASA e dados espaciais do programa Copernicus europeu permitem construir modelos comparativos, identificar tendencias globais e enriquecer modelos preditivos com contexto internacional.</w:t>
      </w:r>
    </w:p>
    <w:p>
      <w:pPr>
        <w:pStyle w:val="Heading2"/>
        <w:spacing w:after="160" w:before="360" w:line="312"/>
      </w:pPr>
      <w:bookmarkStart w:id="100015" w:name="_Toc100015"/>
      <w:r>
        <w:rPr>
          <w:rFonts w:ascii="Calibri" w:eastAsia="SimHei"/>
          <w:b/>
          <w:bCs/>
          <w:color w:val="0B1220"/>
          <w:sz w:val="28"/>
          <w:szCs w:val="28"/>
        </w:rPr>
        <w:t xml:space="preserve">3.1 Macroeconomia e Indicadores Sociais</w:t>
      </w:r>
      <w:bookmarkEnd w:id="100015"/>
    </w:p>
    <w:p>
      <w:pPr>
        <w:spacing w:after="120" w:line="312"/>
        <w:ind w:firstLine="480"/>
        <w:jc w:val="both"/>
      </w:pPr>
      <w:r>
        <w:rPr>
          <w:rFonts w:ascii="Calibri" w:eastAsia="SimHei"/>
          <w:color w:val="000000"/>
          <w:sz w:val="24"/>
          <w:szCs w:val="24"/>
        </w:rPr>
        <w:t xml:space="preserve">O Banco Mundial (data.worldbank.org/developers) oferece mais de 16.000 indicadores cobrindo mais de 200 paises, com acesso gratuito e sem necessidade de autenticacao via API REST. O FMI (datahelp.imf.org) disponibiliza dados de balanco de pagamentos, reservas internacionais e indicadores de estabilidade financeira, exigindo registro simplificado. O FRED (Federal Reserve Bank of St. Louis, fred.stlouisfed.org/docs/api) oferece mais de 800.000 series temporais com chave gratuita obtida em segundos e limite de 120 requisicoes por minuto. A OCDE (data.oecd.org) fornece dados de produtividade, educacao e desenvolvimento social no formato SDMX.</w:t>
      </w:r>
    </w:p>
    <w:p>
      <w:pPr>
        <w:pStyle w:val="Heading2"/>
        <w:spacing w:after="160" w:before="360" w:line="312"/>
      </w:pPr>
      <w:bookmarkStart w:id="100016" w:name="_Toc100016"/>
      <w:r>
        <w:rPr>
          <w:rFonts w:ascii="Calibri" w:eastAsia="SimHei"/>
          <w:b/>
          <w:bCs/>
          <w:color w:val="0B1220"/>
          <w:sz w:val="28"/>
          <w:szCs w:val="28"/>
        </w:rPr>
        <w:t xml:space="preserve">3.2 Comercio Exterior e Cadeia de Suprimentos</w:t>
      </w:r>
      <w:bookmarkEnd w:id="100016"/>
    </w:p>
    <w:p>
      <w:pPr>
        <w:spacing w:after="120" w:line="312"/>
        <w:ind w:firstLine="480"/>
        <w:jc w:val="both"/>
      </w:pPr>
      <w:r>
        <w:rPr>
          <w:rFonts w:ascii="Calibri" w:eastAsia="SimHei"/>
          <w:color w:val="000000"/>
          <w:sz w:val="24"/>
          <w:szCs w:val="24"/>
        </w:rPr>
        <w:t xml:space="preserve">A UN Comtrade API (comtradeapi.un.org) disponibiliza dados bilaterais de comercio por codigo HS, com acesso gratuito mediante registro. O WITS (wits.worldbank.org) oferece dados sobre tarifas e barreiras nao tarifarias. O U.S. Census Bureau disponibiliza dados de comercio dos Estados Unidos com chave gratuita. Essas fontes permitem construir analises comparativas do posicionamento comercial brasileiro, identificar mercados em expansao e antecipar movimentos de cadeias de suprimentos globais.</w:t>
      </w:r>
    </w:p>
    <w:p>
      <w:pPr>
        <w:pStyle w:val="Heading2"/>
        <w:spacing w:after="160" w:before="360" w:line="312"/>
      </w:pPr>
      <w:bookmarkStart w:id="100017" w:name="_Toc100017"/>
      <w:r>
        <w:rPr>
          <w:rFonts w:ascii="Calibri" w:eastAsia="SimHei"/>
          <w:b/>
          <w:bCs/>
          <w:color w:val="0B1220"/>
          <w:sz w:val="28"/>
          <w:szCs w:val="28"/>
        </w:rPr>
        <w:t xml:space="preserve">3.3 Saude Global e Demografia</w:t>
      </w:r>
      <w:bookmarkEnd w:id="100017"/>
    </w:p>
    <w:p>
      <w:pPr>
        <w:spacing w:after="120" w:line="312"/>
        <w:ind w:firstLine="480"/>
        <w:jc w:val="both"/>
      </w:pPr>
      <w:r>
        <w:rPr>
          <w:rFonts w:ascii="Calibri" w:eastAsia="SimHei"/>
          <w:color w:val="000000"/>
          <w:sz w:val="24"/>
          <w:szCs w:val="24"/>
        </w:rPr>
        <w:t xml:space="preserve">A OMS GHO (who.int/data/gho) disponibiliza dados de mortalidade, vacinacao e expectativa de vida via API OData, com acesso gratuito. O OpenDisease (disease.sh) oferece estatisticas de COVID-19, influenza e outras doencas, gratuito e sem necessidade de chave. Esses dados sao complementares ao DATASUS para analises comparativas de saude e para modelos que integram dinamicas de saude globais e locais.</w:t>
      </w:r>
    </w:p>
    <w:p>
      <w:pPr>
        <w:pStyle w:val="Heading2"/>
        <w:spacing w:after="160" w:before="360" w:line="312"/>
      </w:pPr>
      <w:bookmarkStart w:id="100018" w:name="_Toc100018"/>
      <w:r>
        <w:rPr>
          <w:rFonts w:ascii="Calibri" w:eastAsia="SimHei"/>
          <w:b/>
          <w:bCs/>
          <w:color w:val="0B1220"/>
          <w:sz w:val="28"/>
          <w:szCs w:val="28"/>
        </w:rPr>
        <w:t xml:space="preserve">3.4 Educacao</w:t>
      </w:r>
      <w:bookmarkEnd w:id="100018"/>
    </w:p>
    <w:p>
      <w:pPr>
        <w:spacing w:after="120" w:line="312"/>
        <w:ind w:firstLine="480"/>
        <w:jc w:val="both"/>
      </w:pPr>
      <w:r>
        <w:rPr>
          <w:rFonts w:ascii="Calibri" w:eastAsia="SimHei"/>
          <w:color w:val="000000"/>
          <w:sz w:val="24"/>
          <w:szCs w:val="24"/>
        </w:rPr>
        <w:t xml:space="preserve">A UNESCO UIS (data.uis.unesco.org) e a principal fonte de dados educacionais internacionais, cobrindo taxa de alfabetizacao, matriculas por nivel e gastos com educacao, com acesso gratuito. Quando cruzados com dados do INEP, permitem posicionamento comparativo do Brasil no contexto educacional global e identificacao de gaps especificos por regiao.</w:t>
      </w:r>
    </w:p>
    <w:p>
      <w:pPr>
        <w:pStyle w:val="Heading2"/>
        <w:spacing w:after="160" w:before="360" w:line="312"/>
      </w:pPr>
      <w:bookmarkStart w:id="100019" w:name="_Toc100019"/>
      <w:r>
        <w:rPr>
          <w:rFonts w:ascii="Calibri" w:eastAsia="SimHei"/>
          <w:b/>
          <w:bCs/>
          <w:color w:val="0B1220"/>
          <w:sz w:val="28"/>
          <w:szCs w:val="28"/>
        </w:rPr>
        <w:t xml:space="preserve">3.5 Clima, Meio Ambiente e Dados Espaciais</w:t>
      </w:r>
      <w:bookmarkEnd w:id="100019"/>
    </w:p>
    <w:p>
      <w:pPr>
        <w:spacing w:after="120" w:line="312"/>
        <w:ind w:firstLine="480"/>
        <w:jc w:val="both"/>
      </w:pPr>
      <w:r>
        <w:rPr>
          <w:rFonts w:ascii="Calibri" w:eastAsia="SimHei"/>
          <w:color w:val="000000"/>
          <w:sz w:val="24"/>
          <w:szCs w:val="24"/>
        </w:rPr>
        <w:t xml:space="preserve">O ecossistema de dados climaticos internacionais e excepcionalmente rico. O OpenWeatherMap (openweathermap.org/api) oferece dados atuais, previsoes, poluicao e UV com 1.000 chamadas gratuitas por dia. A NASA POWER (power.larc.nasa.gov/api) fornece dados historicos e de previsao baseados em satelite, totalmente gratuito. O Copernicus CAMS (ads.atmosphere.copernicus.eu) fornece dados de qualidade do ar e previsoes de incendios, exigindo registro gratuito. O SENTINEL Hub (sentinel-hub.com) oferece imagens de satelite com 30.000 requisicoes gratuitas por mes. A NOAA (ncdc.noaa.gov) disponibiliza dados climaticos historicos com token gratuito. O OpenAQ (openaq.org) agrega dados de estacoes de monitoramento de qualidade do ar globalmente.</w:t>
      </w:r>
    </w:p>
    <w:p>
      <w:pPr>
        <w:pStyle w:val="Heading2"/>
        <w:spacing w:after="160" w:before="360" w:line="312"/>
      </w:pPr>
      <w:bookmarkStart w:id="100020" w:name="_Toc100020"/>
      <w:r>
        <w:rPr>
          <w:rFonts w:ascii="Calibri" w:eastAsia="SimHei"/>
          <w:b/>
          <w:bCs/>
          <w:color w:val="0B1220"/>
          <w:sz w:val="28"/>
          <w:szCs w:val="28"/>
        </w:rPr>
        <w:t xml:space="preserve">3.6 Geolocalizacao e Demografia</w:t>
      </w:r>
      <w:bookmarkEnd w:id="100020"/>
    </w:p>
    <w:p>
      <w:pPr>
        <w:spacing w:after="120" w:line="312"/>
        <w:ind w:firstLine="480"/>
        <w:jc w:val="both"/>
      </w:pPr>
      <w:r>
        <w:rPr>
          <w:rFonts w:ascii="Calibri" w:eastAsia="SimHei"/>
          <w:color w:val="000000"/>
          <w:sz w:val="24"/>
          <w:szCs w:val="24"/>
        </w:rPr>
        <w:t xml:space="preserve">O WorldPop (worldpop.org) fornece grades de populacao em resolucao de 100 metros, segmentadas por idade e genero, essenciais para analises de distribuicao demografica. O ACNUR/UNHCR (unhcr.org/refugee-statistics) disponibiliza dados sobre refugiados e deslocamentos forcos. Essas fontes permitem construir modelos de risco demografico, analisar pressoes migratorias e dimensionar mercados potenciais com precisao espacial.</w:t>
      </w:r>
    </w:p>
    <w:p>
      <w:pPr>
        <w:pStyle w:val="Heading2"/>
        <w:spacing w:after="160" w:before="360" w:line="312"/>
      </w:pPr>
      <w:bookmarkStart w:id="100021" w:name="_Toc100021"/>
      <w:r>
        <w:rPr>
          <w:rFonts w:ascii="Calibri" w:eastAsia="SimHei"/>
          <w:b/>
          <w:bCs/>
          <w:color w:val="0B1220"/>
          <w:sz w:val="28"/>
          <w:szCs w:val="28"/>
        </w:rPr>
        <w:t xml:space="preserve">3.7 Mercado Financeiro</w:t>
      </w:r>
      <w:bookmarkEnd w:id="100021"/>
    </w:p>
    <w:p>
      <w:pPr>
        <w:spacing w:after="120" w:line="312"/>
        <w:ind w:firstLine="480"/>
        <w:jc w:val="both"/>
      </w:pPr>
      <w:r>
        <w:rPr>
          <w:rFonts w:ascii="Calibri" w:eastAsia="SimHei"/>
          <w:color w:val="000000"/>
          <w:sz w:val="24"/>
          <w:szCs w:val="24"/>
        </w:rPr>
        <w:t xml:space="preserve">A Alpha Vantage (alphavantage.co) oferece cotacoes de acoes, cambio e indicadores financeiros em modelo freemium. O CoinGecko (coingecko.com) fornece dados de criptomoedas de forma gratuita. O BIS (bis.org/statistics) disponibiliza dados de credito bancario internacional via download CSV. Essas fontes complementam dados do BCB para analises financeiras mais abrangentes.</w:t>
      </w:r>
    </w:p>
    <w:p>
      <w:pPr>
        <w:pStyle w:val="Heading2"/>
        <w:spacing w:after="160" w:before="360" w:line="312"/>
      </w:pPr>
      <w:bookmarkStart w:id="100022" w:name="_Toc100022"/>
      <w:r>
        <w:rPr>
          <w:rFonts w:ascii="Calibri" w:eastAsia="SimHei"/>
          <w:b/>
          <w:bCs/>
          <w:color w:val="0B1220"/>
          <w:sz w:val="28"/>
          <w:szCs w:val="28"/>
        </w:rPr>
        <w:t xml:space="preserve">3.8 Energia</w:t>
      </w:r>
      <w:bookmarkEnd w:id="100022"/>
    </w:p>
    <w:p>
      <w:pPr>
        <w:spacing w:after="120" w:line="312"/>
        <w:ind w:firstLine="480"/>
        <w:jc w:val="both"/>
      </w:pPr>
      <w:r>
        <w:rPr>
          <w:rFonts w:ascii="Calibri" w:eastAsia="SimHei"/>
          <w:color w:val="000000"/>
          <w:sz w:val="24"/>
          <w:szCs w:val="24"/>
        </w:rPr>
        <w:t xml:space="preserve">O Global Petroleum Prices (globalpetrolprices.com) fornece precos de combustiveis e eletricidade para mais de 150 paises, com 300 requisicoes gratuitas por mes. Esses dados permitem comparacoes internacionais de custo de energia e modelos de precificacao para o setor agricola e industrial.</w:t>
      </w:r>
    </w:p>
    <w:p>
      <w:pPr>
        <w:spacing w:after="200"/>
      </w:pPr>
    </w:p>
    <w:p>
      <w:pPr>
        <w:keepNext/>
        <w:spacing w:after="200" w:before="200"/>
      </w:pPr>
      <w:r>
        <w:rPr>
          <w:rFonts w:ascii="Calibri" w:eastAsia="SimHei"/>
          <w:b/>
          <w:bCs/>
          <w:color w:val="000000"/>
          <w:sz w:val="22"/>
          <w:szCs w:val="22"/>
        </w:rPr>
        <w:t xml:space="preserve">Tabela 2: Resumo das APIs Internacionais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20%"/>
            <w:tcBorders>
              <w:top w:val="single" w:color="529286" w:sz="2"/>
              <w:left w:val="none"/>
              <w:bottom w:val="single" w:color="529286" w:sz="2"/>
              <w:right w:val="none"/>
            </w:tcBorders>
            <w:shd w:fill="529286" w:val="clear"/>
            <w:tcMar>
              <w:top w:type="dxa" w:w="60"/>
              <w:left w:type="dxa" w:w="120"/>
              <w:bottom w:type="dxa" w:w="60"/>
              <w:right w:type="dxa" w:w="120"/>
            </w:tcMar>
            <w:vAlign w:val="center"/>
          </w:tcPr>
          <w:p>
            <w:pPr>
              <w:spacing w:line="276"/>
              <w:jc w:val="center"/>
            </w:pPr>
            <w:r>
              <w:rPr>
                <w:rFonts w:ascii="Calibri" w:eastAsia="SimHei"/>
                <w:b/>
                <w:bCs/>
                <w:color w:val="FFFFFF"/>
                <w:sz w:val="20"/>
                <w:szCs w:val="20"/>
              </w:rPr>
              <w:t xml:space="preserve">Fonte</w:t>
            </w:r>
          </w:p>
        </w:tc>
        <w:tc>
          <w:tcPr>
            <w:tcW w:type="pct" w:w="35%"/>
            <w:tcBorders>
              <w:top w:val="single" w:color="529286" w:sz="2"/>
              <w:left w:val="none"/>
              <w:bottom w:val="single" w:color="529286" w:sz="2"/>
              <w:right w:val="none"/>
            </w:tcBorders>
            <w:shd w:fill="529286" w:val="clear"/>
            <w:tcMar>
              <w:top w:type="dxa" w:w="60"/>
              <w:left w:type="dxa" w:w="120"/>
              <w:bottom w:type="dxa" w:w="60"/>
              <w:right w:type="dxa" w:w="120"/>
            </w:tcMar>
            <w:vAlign w:val="center"/>
          </w:tcPr>
          <w:p>
            <w:pPr>
              <w:spacing w:line="276"/>
              <w:jc w:val="center"/>
            </w:pPr>
            <w:r>
              <w:rPr>
                <w:rFonts w:ascii="Calibri" w:eastAsia="SimHei"/>
                <w:b/>
                <w:bCs/>
                <w:color w:val="FFFFFF"/>
                <w:sz w:val="20"/>
                <w:szCs w:val="20"/>
              </w:rPr>
              <w:t xml:space="preserve">Dados</w:t>
            </w:r>
          </w:p>
        </w:tc>
        <w:tc>
          <w:tcPr>
            <w:tcW w:type="pct" w:w="15%"/>
            <w:tcBorders>
              <w:top w:val="single" w:color="529286" w:sz="2"/>
              <w:left w:val="none"/>
              <w:bottom w:val="single" w:color="529286" w:sz="2"/>
              <w:right w:val="none"/>
            </w:tcBorders>
            <w:shd w:fill="529286" w:val="clear"/>
            <w:tcMar>
              <w:top w:type="dxa" w:w="60"/>
              <w:left w:type="dxa" w:w="120"/>
              <w:bottom w:type="dxa" w:w="60"/>
              <w:right w:type="dxa" w:w="120"/>
            </w:tcMar>
            <w:vAlign w:val="center"/>
          </w:tcPr>
          <w:p>
            <w:pPr>
              <w:spacing w:line="276"/>
              <w:jc w:val="center"/>
            </w:pPr>
            <w:r>
              <w:rPr>
                <w:rFonts w:ascii="Calibri" w:eastAsia="SimHei"/>
                <w:b/>
                <w:bCs/>
                <w:color w:val="FFFFFF"/>
                <w:sz w:val="20"/>
                <w:szCs w:val="20"/>
              </w:rPr>
              <w:t xml:space="preserve">Acesso</w:t>
            </w:r>
          </w:p>
        </w:tc>
        <w:tc>
          <w:tcPr>
            <w:tcW w:type="pct" w:w="30%"/>
            <w:tcBorders>
              <w:top w:val="single" w:color="529286" w:sz="2"/>
              <w:left w:val="none"/>
              <w:bottom w:val="single" w:color="529286" w:sz="2"/>
              <w:right w:val="none"/>
            </w:tcBorders>
            <w:shd w:fill="529286" w:val="clear"/>
            <w:tcMar>
              <w:top w:type="dxa" w:w="60"/>
              <w:left w:type="dxa" w:w="120"/>
              <w:bottom w:type="dxa" w:w="60"/>
              <w:right w:type="dxa" w:w="120"/>
            </w:tcMar>
            <w:vAlign w:val="center"/>
          </w:tcPr>
          <w:p>
            <w:pPr>
              <w:spacing w:line="276"/>
              <w:jc w:val="center"/>
            </w:pPr>
            <w:r>
              <w:rPr>
                <w:rFonts w:ascii="Calibri" w:eastAsia="SimHei"/>
                <w:b/>
                <w:bCs/>
                <w:color w:val="FFFFFF"/>
                <w:sz w:val="20"/>
                <w:szCs w:val="20"/>
              </w:rPr>
              <w:t xml:space="preserve">Custo</w:t>
            </w:r>
          </w:p>
        </w:tc>
      </w:tr>
      <w:tr>
        <w:trPr>
          <w:cantSplit/>
        </w:trPr>
        <w:tc>
          <w:tcPr>
            <w:tcW w:type="pct" w:w="20%"/>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World Bank</w:t>
            </w:r>
          </w:p>
        </w:tc>
        <w:tc>
          <w:tcPr>
            <w:tcW w:type="pct" w:w="35%"/>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16.000+ indicadores, 200+ paises</w:t>
            </w:r>
          </w:p>
        </w:tc>
        <w:tc>
          <w:tcPr>
            <w:tcW w:type="pct" w:w="15%"/>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REST</w:t>
            </w:r>
          </w:p>
        </w:tc>
        <w:tc>
          <w:tcPr>
            <w:tcW w:type="pct" w:w="30%"/>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Gratuito, sem auth</w:t>
            </w:r>
          </w:p>
        </w:tc>
      </w:tr>
      <w:tr>
        <w:trPr>
          <w:cantSplit/>
        </w:trPr>
        <w:tc>
          <w:tcPr>
            <w:tcW w:type="pct" w:w="20%"/>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FMI</w:t>
            </w:r>
          </w:p>
        </w:tc>
        <w:tc>
          <w:tcPr>
            <w:tcW w:type="pct" w:w="35%"/>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Balanco pagamentos, reservas</w:t>
            </w:r>
          </w:p>
        </w:tc>
        <w:tc>
          <w:tcPr>
            <w:tcW w:type="pct" w:w="15%"/>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REST</w:t>
            </w:r>
          </w:p>
        </w:tc>
        <w:tc>
          <w:tcPr>
            <w:tcW w:type="pct" w:w="30%"/>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Registro simplificado</w:t>
            </w:r>
          </w:p>
        </w:tc>
      </w:tr>
      <w:tr>
        <w:trPr>
          <w:cantSplit/>
        </w:trPr>
        <w:tc>
          <w:tcPr>
            <w:tcW w:type="pct" w:w="20%"/>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FRED</w:t>
            </w:r>
          </w:p>
        </w:tc>
        <w:tc>
          <w:tcPr>
            <w:tcW w:type="pct" w:w="35%"/>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800k+ series temporais</w:t>
            </w:r>
          </w:p>
        </w:tc>
        <w:tc>
          <w:tcPr>
            <w:tcW w:type="pct" w:w="15%"/>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REST</w:t>
            </w:r>
          </w:p>
        </w:tc>
        <w:tc>
          <w:tcPr>
            <w:tcW w:type="pct" w:w="30%"/>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Gratuito, 120 req/min</w:t>
            </w:r>
          </w:p>
        </w:tc>
      </w:tr>
      <w:tr>
        <w:trPr>
          <w:cantSplit/>
        </w:trPr>
        <w:tc>
          <w:tcPr>
            <w:tcW w:type="pct" w:w="20%"/>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OECD</w:t>
            </w:r>
          </w:p>
        </w:tc>
        <w:tc>
          <w:tcPr>
            <w:tcW w:type="pct" w:w="35%"/>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Produtividade, educacao, SDMX</w:t>
            </w:r>
          </w:p>
        </w:tc>
        <w:tc>
          <w:tcPr>
            <w:tcW w:type="pct" w:w="15%"/>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REST</w:t>
            </w:r>
          </w:p>
        </w:tc>
        <w:tc>
          <w:tcPr>
            <w:tcW w:type="pct" w:w="30%"/>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Gratuito</w:t>
            </w:r>
          </w:p>
        </w:tc>
      </w:tr>
      <w:tr>
        <w:trPr>
          <w:cantSplit/>
        </w:trPr>
        <w:tc>
          <w:tcPr>
            <w:tcW w:type="pct" w:w="20%"/>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UN Comtrade</w:t>
            </w:r>
          </w:p>
        </w:tc>
        <w:tc>
          <w:tcPr>
            <w:tcW w:type="pct" w:w="35%"/>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Comercio bilateral por HS</w:t>
            </w:r>
          </w:p>
        </w:tc>
        <w:tc>
          <w:tcPr>
            <w:tcW w:type="pct" w:w="15%"/>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REST</w:t>
            </w:r>
          </w:p>
        </w:tc>
        <w:tc>
          <w:tcPr>
            <w:tcW w:type="pct" w:w="30%"/>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Gratuito c/ registro</w:t>
            </w:r>
          </w:p>
        </w:tc>
      </w:tr>
      <w:tr>
        <w:trPr>
          <w:cantSplit/>
        </w:trPr>
        <w:tc>
          <w:tcPr>
            <w:tcW w:type="pct" w:w="20%"/>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WITS</w:t>
            </w:r>
          </w:p>
        </w:tc>
        <w:tc>
          <w:tcPr>
            <w:tcW w:type="pct" w:w="35%"/>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Tarifas, barreiras nao-tarif.</w:t>
            </w:r>
          </w:p>
        </w:tc>
        <w:tc>
          <w:tcPr>
            <w:tcW w:type="pct" w:w="15%"/>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REST</w:t>
            </w:r>
          </w:p>
        </w:tc>
        <w:tc>
          <w:tcPr>
            <w:tcW w:type="pct" w:w="30%"/>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Gratuito</w:t>
            </w:r>
          </w:p>
        </w:tc>
      </w:tr>
      <w:tr>
        <w:trPr>
          <w:cantSplit/>
        </w:trPr>
        <w:tc>
          <w:tcPr>
            <w:tcW w:type="pct" w:w="20%"/>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WHO GHO</w:t>
            </w:r>
          </w:p>
        </w:tc>
        <w:tc>
          <w:tcPr>
            <w:tcW w:type="pct" w:w="35%"/>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Mortalidade, vacinacao</w:t>
            </w:r>
          </w:p>
        </w:tc>
        <w:tc>
          <w:tcPr>
            <w:tcW w:type="pct" w:w="15%"/>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OData</w:t>
            </w:r>
          </w:p>
        </w:tc>
        <w:tc>
          <w:tcPr>
            <w:tcW w:type="pct" w:w="30%"/>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Gratuito</w:t>
            </w:r>
          </w:p>
        </w:tc>
      </w:tr>
      <w:tr>
        <w:trPr>
          <w:cantSplit/>
        </w:trPr>
        <w:tc>
          <w:tcPr>
            <w:tcW w:type="pct" w:w="20%"/>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OpenDisease</w:t>
            </w:r>
          </w:p>
        </w:tc>
        <w:tc>
          <w:tcPr>
            <w:tcW w:type="pct" w:w="35%"/>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COVID/influenza stats</w:t>
            </w:r>
          </w:p>
        </w:tc>
        <w:tc>
          <w:tcPr>
            <w:tcW w:type="pct" w:w="15%"/>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REST</w:t>
            </w:r>
          </w:p>
        </w:tc>
        <w:tc>
          <w:tcPr>
            <w:tcW w:type="pct" w:w="30%"/>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Gratuito, sem key</w:t>
            </w:r>
          </w:p>
        </w:tc>
      </w:tr>
      <w:tr>
        <w:trPr>
          <w:cantSplit/>
        </w:trPr>
        <w:tc>
          <w:tcPr>
            <w:tcW w:type="pct" w:w="20%"/>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UNESCO UIS</w:t>
            </w:r>
          </w:p>
        </w:tc>
        <w:tc>
          <w:tcPr>
            <w:tcW w:type="pct" w:w="35%"/>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Alfabetizacao, matriculas</w:t>
            </w:r>
          </w:p>
        </w:tc>
        <w:tc>
          <w:tcPr>
            <w:tcW w:type="pct" w:w="15%"/>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REST</w:t>
            </w:r>
          </w:p>
        </w:tc>
        <w:tc>
          <w:tcPr>
            <w:tcW w:type="pct" w:w="30%"/>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Gratuito</w:t>
            </w:r>
          </w:p>
        </w:tc>
      </w:tr>
      <w:tr>
        <w:trPr>
          <w:cantSplit/>
        </w:trPr>
        <w:tc>
          <w:tcPr>
            <w:tcW w:type="pct" w:w="20%"/>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OpenWeatherMap</w:t>
            </w:r>
          </w:p>
        </w:tc>
        <w:tc>
          <w:tcPr>
            <w:tcW w:type="pct" w:w="35%"/>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Clima, previsao, poluicao</w:t>
            </w:r>
          </w:p>
        </w:tc>
        <w:tc>
          <w:tcPr>
            <w:tcW w:type="pct" w:w="15%"/>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REST</w:t>
            </w:r>
          </w:p>
        </w:tc>
        <w:tc>
          <w:tcPr>
            <w:tcW w:type="pct" w:w="30%"/>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1.000 req/dia gratis</w:t>
            </w:r>
          </w:p>
        </w:tc>
      </w:tr>
      <w:tr>
        <w:trPr>
          <w:cantSplit/>
        </w:trPr>
        <w:tc>
          <w:tcPr>
            <w:tcW w:type="pct" w:w="20%"/>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NASA POWER</w:t>
            </w:r>
          </w:p>
        </w:tc>
        <w:tc>
          <w:tcPr>
            <w:tcW w:type="pct" w:w="35%"/>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Dados satelite historicos</w:t>
            </w:r>
          </w:p>
        </w:tc>
        <w:tc>
          <w:tcPr>
            <w:tcW w:type="pct" w:w="15%"/>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REST</w:t>
            </w:r>
          </w:p>
        </w:tc>
        <w:tc>
          <w:tcPr>
            <w:tcW w:type="pct" w:w="30%"/>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Gratuito</w:t>
            </w:r>
          </w:p>
        </w:tc>
      </w:tr>
      <w:tr>
        <w:trPr>
          <w:cantSplit/>
        </w:trPr>
        <w:tc>
          <w:tcPr>
            <w:tcW w:type="pct" w:w="20%"/>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Copernicus CAMS</w:t>
            </w:r>
          </w:p>
        </w:tc>
        <w:tc>
          <w:tcPr>
            <w:tcW w:type="pct" w:w="35%"/>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Qualidade do ar, incendios</w:t>
            </w:r>
          </w:p>
        </w:tc>
        <w:tc>
          <w:tcPr>
            <w:tcW w:type="pct" w:w="15%"/>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REST</w:t>
            </w:r>
          </w:p>
        </w:tc>
        <w:tc>
          <w:tcPr>
            <w:tcW w:type="pct" w:w="30%"/>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Registro gratuito</w:t>
            </w:r>
          </w:p>
        </w:tc>
      </w:tr>
      <w:tr>
        <w:trPr>
          <w:cantSplit/>
        </w:trPr>
        <w:tc>
          <w:tcPr>
            <w:tcW w:type="pct" w:w="20%"/>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SENTINEL Hub</w:t>
            </w:r>
          </w:p>
        </w:tc>
        <w:tc>
          <w:tcPr>
            <w:tcW w:type="pct" w:w="35%"/>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Imagens de satelite</w:t>
            </w:r>
          </w:p>
        </w:tc>
        <w:tc>
          <w:tcPr>
            <w:tcW w:type="pct" w:w="15%"/>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REST</w:t>
            </w:r>
          </w:p>
        </w:tc>
        <w:tc>
          <w:tcPr>
            <w:tcW w:type="pct" w:w="30%"/>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30.000 req/mes gratis</w:t>
            </w:r>
          </w:p>
        </w:tc>
      </w:tr>
      <w:tr>
        <w:trPr>
          <w:cantSplit/>
        </w:trPr>
        <w:tc>
          <w:tcPr>
            <w:tcW w:type="pct" w:w="20%"/>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NOAA</w:t>
            </w:r>
          </w:p>
        </w:tc>
        <w:tc>
          <w:tcPr>
            <w:tcW w:type="pct" w:w="35%"/>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Clima historico</w:t>
            </w:r>
          </w:p>
        </w:tc>
        <w:tc>
          <w:tcPr>
            <w:tcW w:type="pct" w:w="15%"/>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REST</w:t>
            </w:r>
          </w:p>
        </w:tc>
        <w:tc>
          <w:tcPr>
            <w:tcW w:type="pct" w:w="30%"/>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Token gratuito</w:t>
            </w:r>
          </w:p>
        </w:tc>
      </w:tr>
      <w:tr>
        <w:trPr>
          <w:cantSplit/>
        </w:trPr>
        <w:tc>
          <w:tcPr>
            <w:tcW w:type="pct" w:w="20%"/>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OpenAQ</w:t>
            </w:r>
          </w:p>
        </w:tc>
        <w:tc>
          <w:tcPr>
            <w:tcW w:type="pct" w:w="35%"/>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Estacoes qualidade ar</w:t>
            </w:r>
          </w:p>
        </w:tc>
        <w:tc>
          <w:tcPr>
            <w:tcW w:type="pct" w:w="15%"/>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REST</w:t>
            </w:r>
          </w:p>
        </w:tc>
        <w:tc>
          <w:tcPr>
            <w:tcW w:type="pct" w:w="30%"/>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Gratuito</w:t>
            </w:r>
          </w:p>
        </w:tc>
      </w:tr>
      <w:tr>
        <w:trPr>
          <w:cantSplit/>
        </w:trPr>
        <w:tc>
          <w:tcPr>
            <w:tcW w:type="pct" w:w="20%"/>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WorldPop</w:t>
            </w:r>
          </w:p>
        </w:tc>
        <w:tc>
          <w:tcPr>
            <w:tcW w:type="pct" w:w="35%"/>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Populacao 100m, idade/genero</w:t>
            </w:r>
          </w:p>
        </w:tc>
        <w:tc>
          <w:tcPr>
            <w:tcW w:type="pct" w:w="15%"/>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Download</w:t>
            </w:r>
          </w:p>
        </w:tc>
        <w:tc>
          <w:tcPr>
            <w:tcW w:type="pct" w:w="30%"/>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Gratuito</w:t>
            </w:r>
          </w:p>
        </w:tc>
      </w:tr>
      <w:tr>
        <w:trPr>
          <w:cantSplit/>
        </w:trPr>
        <w:tc>
          <w:tcPr>
            <w:tcW w:type="pct" w:w="20%"/>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UNHCR</w:t>
            </w:r>
          </w:p>
        </w:tc>
        <w:tc>
          <w:tcPr>
            <w:tcW w:type="pct" w:w="35%"/>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Refugiados, deslocamentos</w:t>
            </w:r>
          </w:p>
        </w:tc>
        <w:tc>
          <w:tcPr>
            <w:tcW w:type="pct" w:w="15%"/>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REST</w:t>
            </w:r>
          </w:p>
        </w:tc>
        <w:tc>
          <w:tcPr>
            <w:tcW w:type="pct" w:w="30%"/>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Gratuito</w:t>
            </w:r>
          </w:p>
        </w:tc>
      </w:tr>
      <w:tr>
        <w:trPr>
          <w:cantSplit/>
        </w:trPr>
        <w:tc>
          <w:tcPr>
            <w:tcW w:type="pct" w:w="20%"/>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Alpha Vantage</w:t>
            </w:r>
          </w:p>
        </w:tc>
        <w:tc>
          <w:tcPr>
            <w:tcW w:type="pct" w:w="35%"/>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Acoes, cambio</w:t>
            </w:r>
          </w:p>
        </w:tc>
        <w:tc>
          <w:tcPr>
            <w:tcW w:type="pct" w:w="15%"/>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REST</w:t>
            </w:r>
          </w:p>
        </w:tc>
        <w:tc>
          <w:tcPr>
            <w:tcW w:type="pct" w:w="30%"/>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Freemium</w:t>
            </w:r>
          </w:p>
        </w:tc>
      </w:tr>
      <w:tr>
        <w:trPr>
          <w:cantSplit/>
        </w:trPr>
        <w:tc>
          <w:tcPr>
            <w:tcW w:type="pct" w:w="20%"/>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CoinGecko</w:t>
            </w:r>
          </w:p>
        </w:tc>
        <w:tc>
          <w:tcPr>
            <w:tcW w:type="pct" w:w="35%"/>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Criptomoedas</w:t>
            </w:r>
          </w:p>
        </w:tc>
        <w:tc>
          <w:tcPr>
            <w:tcW w:type="pct" w:w="15%"/>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REST</w:t>
            </w:r>
          </w:p>
        </w:tc>
        <w:tc>
          <w:tcPr>
            <w:tcW w:type="pct" w:w="30%"/>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Gratuito</w:t>
            </w:r>
          </w:p>
        </w:tc>
      </w:tr>
      <w:tr>
        <w:trPr>
          <w:cantSplit/>
        </w:trPr>
        <w:tc>
          <w:tcPr>
            <w:tcW w:type="pct" w:w="20%"/>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Global Petrol</w:t>
            </w:r>
          </w:p>
        </w:tc>
        <w:tc>
          <w:tcPr>
            <w:tcW w:type="pct" w:w="35%"/>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Precos energia 150 paises</w:t>
            </w:r>
          </w:p>
        </w:tc>
        <w:tc>
          <w:tcPr>
            <w:tcW w:type="pct" w:w="15%"/>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REST</w:t>
            </w:r>
          </w:p>
        </w:tc>
        <w:tc>
          <w:tcPr>
            <w:tcW w:type="pct" w:w="30%"/>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300 req/mes gratis</w:t>
            </w:r>
          </w:p>
        </w:tc>
      </w:tr>
    </w:tbl>
    <w:p>
      <w:pPr>
        <w:spacing w:after="200"/>
      </w:pPr>
    </w:p>
    <w:p>
      <w:pPr>
        <w:pStyle w:val="Heading1"/>
        <w:spacing w:after="240" w:before="480" w:line="312"/>
      </w:pPr>
      <w:bookmarkStart w:id="100023" w:name="_Toc100023"/>
      <w:r>
        <w:rPr>
          <w:rFonts w:ascii="Calibri" w:eastAsia="SimHei"/>
          <w:b/>
          <w:bCs/>
          <w:color w:val="0B1220"/>
          <w:sz w:val="32"/>
          <w:szCs w:val="32"/>
        </w:rPr>
        <w:t xml:space="preserve">Capitulo 4: Ideias de Negocio com Dados Brasileiros</w:t>
      </w:r>
      <w:bookmarkEnd w:id="100023"/>
    </w:p>
    <w:p>
      <w:pPr>
        <w:spacing w:after="120" w:line="312"/>
        <w:ind w:firstLine="480"/>
        <w:jc w:val="both"/>
      </w:pPr>
      <w:r>
        <w:rPr>
          <w:rFonts w:ascii="Calibri" w:eastAsia="SimHei"/>
          <w:color w:val="000000"/>
          <w:sz w:val="24"/>
          <w:szCs w:val="24"/>
        </w:rPr>
        <w:t xml:space="preserve">Este capitulo apresenta ideias de negocios concretos viabilizadas pela combinacao de dados publicos brasileiros. Cada ideia inclui a descricao do problema, as fontes de dados utilizadas, a logica de combinacao, o modelo de negocio, a vantagem competitiva e a analise legal. As ideias foram concebidas para maximizar o valor gerado pelo cruzamento inteligente de fontes diversas, seguindo o principio de que o conhecimento reside na combinacao, nao na fonte isolada.</w:t>
      </w:r>
    </w:p>
    <w:p>
      <w:pPr>
        <w:pStyle w:val="Heading2"/>
        <w:spacing w:after="160" w:before="360" w:line="312"/>
      </w:pPr>
      <w:bookmarkStart w:id="100024" w:name="_Toc100024"/>
      <w:r>
        <w:rPr>
          <w:rFonts w:ascii="Calibri" w:eastAsia="SimHei"/>
          <w:b/>
          <w:bCs/>
          <w:color w:val="0B1220"/>
          <w:sz w:val="28"/>
          <w:szCs w:val="28"/>
        </w:rPr>
        <w:t xml:space="preserve">4.1 Radar de Bairros Subvalorizados (Imobiliario)</w:t>
      </w:r>
      <w:bookmarkEnd w:id="100024"/>
    </w:p>
    <w:p>
      <w:pPr>
        <w:spacing w:after="120" w:line="312"/>
        <w:ind w:firstLine="480"/>
        <w:jc w:val="both"/>
      </w:pPr>
      <w:r>
        <w:rPr>
          <w:rFonts w:ascii="Calibri" w:eastAsia="SimHei"/>
          <w:color w:val="000000"/>
          <w:sz w:val="24"/>
          <w:szCs w:val="24"/>
        </w:rPr>
        <w:t xml:space="preserve">Problema: Investidores imobiliarios falham em identificar bairros que estao se valorizando silenciosamente devido a melhorias de infraestrutura e mobilidade urbana. Bairros que recebem novas linhas de transporte, cicloovias ou empreendimentos de ancoragem tendem a se valorizar, mas essa valorizacao so e percebida pelo mercado quando ja e tarde demais para investimento antecipado.</w:t>
      </w:r>
    </w:p>
    <w:p>
      <w:pPr>
        <w:spacing w:after="120" w:line="312"/>
        <w:ind w:firstLine="480"/>
        <w:jc w:val="both"/>
      </w:pPr>
      <w:r>
        <w:rPr>
          <w:rFonts w:ascii="Calibri" w:eastAsia="SimHei"/>
          <w:color w:val="000000"/>
          <w:sz w:val="24"/>
          <w:szCs w:val="24"/>
        </w:rPr>
        <w:t xml:space="preserve">Fontes: FipeZAP para precos por metro quadrado, OpenStreetMap e dados GTFS para conectividade de transporte, IBGE para dados socioeconomicos. A combinacao cruza evolucao de precos com crescimento de conectividade de transporte e melhoria do perfil de renda para gerar um indice proprietario de potencial de valorizacao impulsionado por mobilidade.</w:t>
      </w:r>
    </w:p>
    <w:p>
      <w:pPr>
        <w:spacing w:after="120" w:line="312"/>
        <w:ind w:firstLine="480"/>
        <w:jc w:val="both"/>
      </w:pPr>
      <w:r>
        <w:rPr>
          <w:rFonts w:ascii="Calibri" w:eastAsia="SimHei"/>
          <w:color w:val="000000"/>
          <w:sz w:val="24"/>
          <w:szCs w:val="24"/>
        </w:rPr>
        <w:t xml:space="preserve">Modelo de Negocio: SaaS B2C/B2B freemium, com parceria com plataformas imobiliarias. A vantagem competitiva reside no indice proprietario que integra sinais de mobilidade, renda e precos em tempo proximo ao real, algo que nenhuma plataforma existente oferece de forma automatizada. Legalmente, FipeZAP e gratuito para uso informativo, OSM exige atribuicao ODbL, e IBGE e gratuito com citacao.</w:t>
      </w:r>
    </w:p>
    <w:p>
      <w:pPr>
        <w:pStyle w:val="Heading2"/>
        <w:spacing w:after="160" w:before="360" w:line="312"/>
      </w:pPr>
      <w:bookmarkStart w:id="100025" w:name="_Toc100025"/>
      <w:r>
        <w:rPr>
          <w:rFonts w:ascii="Calibri" w:eastAsia="SimHei"/>
          <w:b/>
          <w:bCs/>
          <w:color w:val="0B1220"/>
          <w:sz w:val="28"/>
          <w:szCs w:val="28"/>
        </w:rPr>
        <w:t xml:space="preserve">4.2 Termometro de Inadimplencia e Risco Local</w:t>
      </w:r>
      <w:bookmarkEnd w:id="100025"/>
    </w:p>
    <w:p>
      <w:pPr>
        <w:spacing w:after="120" w:line="312"/>
        <w:ind w:firstLine="480"/>
        <w:jc w:val="both"/>
      </w:pPr>
      <w:r>
        <w:rPr>
          <w:rFonts w:ascii="Calibri" w:eastAsia="SimHei"/>
          <w:color w:val="000000"/>
          <w:sz w:val="24"/>
          <w:szCs w:val="24"/>
        </w:rPr>
        <w:t xml:space="preserve">Problema: Pequenas empresas e fintechs carecem de acesso a scores de risco para avaliacao regional. Os bureaus tradicionais como Serasa e Equifax operam no nivel do CPF/CNPJ, nao oferecendo visibilidade sobre o risco geografico preditivo que e essencial para decisoes de expansao e concessao de credito.</w:t>
      </w:r>
    </w:p>
    <w:p>
      <w:pPr>
        <w:spacing w:after="120" w:line="312"/>
        <w:ind w:firstLine="480"/>
        <w:jc w:val="both"/>
      </w:pPr>
      <w:r>
        <w:rPr>
          <w:rFonts w:ascii="Calibri" w:eastAsia="SimHei"/>
          <w:color w:val="000000"/>
          <w:sz w:val="24"/>
          <w:szCs w:val="24"/>
        </w:rPr>
        <w:t xml:space="preserve">Fontes: DataJud para execucoes fiscais e litigios, CAGED para dinamica de emprego, BCB para dados de inadimplencia e credito. A combinacao gera um Indice de Estresse Financeiro Municipal que cruza crescimento de execucoes fiscais, saldo negativo de emprego e trajetoria de inadimplencia para identificar municipios em deterioracao financeira antes que isso se reflita em indicadores tradicionais.</w:t>
      </w:r>
    </w:p>
    <w:p>
      <w:pPr>
        <w:spacing w:after="120" w:line="312"/>
        <w:ind w:firstLine="480"/>
        <w:jc w:val="both"/>
      </w:pPr>
      <w:r>
        <w:rPr>
          <w:rFonts w:ascii="Calibri" w:eastAsia="SimHei"/>
          <w:color w:val="000000"/>
          <w:sz w:val="24"/>
          <w:szCs w:val="24"/>
        </w:rPr>
        <w:t xml:space="preserve">Modelo de Negocio: API e assinatura B2B para fintechs de credito, agencias de cobranca e seguradoras. A vantagem competitiva e que bureaus tradicionais focam em CPF/CNPJ, enquanto esta solucao oferece risco preditivo geolocalizado. Os dados sao publicos e anonimizados, totalmente conformes com a LGPD.</w:t>
      </w:r>
    </w:p>
    <w:p>
      <w:pPr>
        <w:pStyle w:val="Heading2"/>
        <w:spacing w:after="160" w:before="360" w:line="312"/>
      </w:pPr>
      <w:bookmarkStart w:id="100026" w:name="_Toc100026"/>
      <w:r>
        <w:rPr>
          <w:rFonts w:ascii="Calibri" w:eastAsia="SimHei"/>
          <w:b/>
          <w:bCs/>
          <w:color w:val="0B1220"/>
          <w:sz w:val="28"/>
          <w:szCs w:val="28"/>
        </w:rPr>
        <w:t xml:space="preserve">4.3 Clima-Saude: Predicao de Surtos Respiratorios</w:t>
      </w:r>
      <w:bookmarkEnd w:id="100026"/>
    </w:p>
    <w:p>
      <w:pPr>
        <w:spacing w:after="120" w:line="312"/>
        <w:ind w:firstLine="480"/>
        <w:jc w:val="both"/>
      </w:pPr>
      <w:r>
        <w:rPr>
          <w:rFonts w:ascii="Calibri" w:eastAsia="SimHei"/>
          <w:color w:val="000000"/>
          <w:sz w:val="24"/>
          <w:szCs w:val="24"/>
        </w:rPr>
        <w:t xml:space="preserve">Problema: Gestores de saude nao conseguem antecipar picos de doencas respiratorias em nivel bairro. Os sistemas atuais sao reativos, respondendo a surtos apos o inicio, quando a capacidade hospitalar ja esta sobrecarregada. A previsao antecipada permitiria realocacao preventiva de recursos e campanhas de vacinacao direcionadas.</w:t>
      </w:r>
    </w:p>
    <w:p>
      <w:pPr>
        <w:spacing w:after="120" w:line="312"/>
        <w:ind w:firstLine="480"/>
        <w:jc w:val="both"/>
      </w:pPr>
      <w:r>
        <w:rPr>
          <w:rFonts w:ascii="Calibri" w:eastAsia="SimHei"/>
          <w:color w:val="000000"/>
          <w:sz w:val="24"/>
          <w:szCs w:val="24"/>
        </w:rPr>
        <w:t xml:space="preserve">Fontes: DATASUS para internacoes por CID respiratorio, INMET para dados meteorologicos, INPE para qualidade do ar e queimadas. A combinacao utiliza modelos de machine learning que integram historico de internacoes respiratorias com condicoes meteorologicas e picos de poluicao para prever surtos com ate 5 dias de antecedencia, em resolucao municipal.</w:t>
      </w:r>
    </w:p>
    <w:p>
      <w:pPr>
        <w:spacing w:after="120" w:line="312"/>
        <w:ind w:firstLine="480"/>
        <w:jc w:val="both"/>
      </w:pPr>
      <w:r>
        <w:rPr>
          <w:rFonts w:ascii="Calibri" w:eastAsia="SimHei"/>
          <w:color w:val="000000"/>
          <w:sz w:val="24"/>
          <w:szCs w:val="24"/>
        </w:rPr>
        <w:t xml:space="preserve">Modelo de Negocio: B2G para secretarias municipais de saude, B2B para redes hospitalares e operadoras de planos de saude, com modulo integravel a softwares de gestao hospitalar. A vantagem competitiva e a resolucao local utilizando dados do SUS combinados com meteorologia em tempo real e dados de satelite, calibrado para regioes brasileiras especificas. DATASUS e anonimizado; INMET/INPE sao dados abertos com atribuicao obrigatoria.</w:t>
      </w:r>
    </w:p>
    <w:p>
      <w:pPr>
        <w:pStyle w:val="Heading2"/>
        <w:spacing w:after="160" w:before="360" w:line="312"/>
      </w:pPr>
      <w:bookmarkStart w:id="100027" w:name="_Toc100027"/>
      <w:r>
        <w:rPr>
          <w:rFonts w:ascii="Calibri" w:eastAsia="SimHei"/>
          <w:b/>
          <w:bCs/>
          <w:color w:val="0B1220"/>
          <w:sz w:val="28"/>
          <w:szCs w:val="28"/>
        </w:rPr>
        <w:t xml:space="preserve">4.4 Monitor de Risco Trabalhista para PMEs</w:t>
      </w:r>
      <w:bookmarkEnd w:id="100027"/>
    </w:p>
    <w:p>
      <w:pPr>
        <w:spacing w:after="120" w:line="312"/>
        <w:ind w:firstLine="480"/>
        <w:jc w:val="both"/>
      </w:pPr>
      <w:r>
        <w:rPr>
          <w:rFonts w:ascii="Calibri" w:eastAsia="SimHei"/>
          <w:color w:val="000000"/>
          <w:sz w:val="24"/>
          <w:szCs w:val="24"/>
        </w:rPr>
        <w:t xml:space="preserve">Problema: Pequenas e medias empresas gastam bilhoes em passivos trabalhistas imprevistos. As acoes trabalhistas sao uma das maiores fontes de incerteza financeira para PMEs, especialmente em setores de alta rotatividade. Um sistema preditivo que antecipa riscos setoriais e regionais permitiria preventivamente estruturar contratos, reservas e estrategias de defesa.</w:t>
      </w:r>
    </w:p>
    <w:p>
      <w:pPr>
        <w:spacing w:after="120" w:line="312"/>
        <w:ind w:firstLine="480"/>
        <w:jc w:val="both"/>
      </w:pPr>
      <w:r>
        <w:rPr>
          <w:rFonts w:ascii="Calibri" w:eastAsia="SimHei"/>
          <w:color w:val="000000"/>
          <w:sz w:val="24"/>
          <w:szCs w:val="24"/>
        </w:rPr>
        <w:t xml:space="preserve">Fontes: Novo CAGED, DataJud e IBGE. A combinacao cruza setores de alta rotatividade, processos trabalhistas por municipio e tema, e normalizacao socioeconomico para gerar um Indice de Risco Trabalhista por setor x municipio. Alertas mensais permitem que empresas se preparem para tendencias de judicializacao.</w:t>
      </w:r>
    </w:p>
    <w:p>
      <w:pPr>
        <w:spacing w:after="120" w:line="312"/>
        <w:ind w:firstLine="480"/>
        <w:jc w:val="both"/>
      </w:pPr>
      <w:r>
        <w:rPr>
          <w:rFonts w:ascii="Calibri" w:eastAsia="SimHei"/>
          <w:color w:val="000000"/>
          <w:sz w:val="24"/>
          <w:szCs w:val="24"/>
        </w:rPr>
        <w:t xml:space="preserve">Modelo de Negocio: SaaS B2B com faixa de R$150 a R$500 por mes e tier gratuito com dados a nivel estadual. A vantagem competitiva esta na combinacao unica de fluxos de emprego, litigacao e contexto socioeconomico. Dados publicos, sem processos de segredo de justica na API, LGPD impede identificacao individual de trabalhadores.</w:t>
      </w:r>
    </w:p>
    <w:p>
      <w:pPr>
        <w:pStyle w:val="Heading2"/>
        <w:spacing w:after="160" w:before="360" w:line="312"/>
      </w:pPr>
      <w:bookmarkStart w:id="100028" w:name="_Toc100028"/>
      <w:r>
        <w:rPr>
          <w:rFonts w:ascii="Calibri" w:eastAsia="SimHei"/>
          <w:b/>
          <w:bCs/>
          <w:color w:val="0B1220"/>
          <w:sz w:val="28"/>
          <w:szCs w:val="28"/>
        </w:rPr>
        <w:t xml:space="preserve">4.5 Radar de Expansao para Franquias e Varejo</w:t>
      </w:r>
      <w:bookmarkEnd w:id="100028"/>
    </w:p>
    <w:p>
      <w:pPr>
        <w:spacing w:after="120" w:line="312"/>
        <w:ind w:firstLine="480"/>
        <w:jc w:val="both"/>
      </w:pPr>
      <w:r>
        <w:rPr>
          <w:rFonts w:ascii="Calibri" w:eastAsia="SimHei"/>
          <w:color w:val="000000"/>
          <w:sz w:val="24"/>
          <w:szCs w:val="24"/>
        </w:rPr>
        <w:t xml:space="preserve">Problema: Redes de franquias e varejo perdem milhoes abrindo unidades em localizacoes inadequadas. A decisao de onde abrir uma nova loja e tradicionalmente baseada em intuicao ou estudos pontuais caros, sem inteligencia de dados sistematica e escalavel.</w:t>
      </w:r>
    </w:p>
    <w:p>
      <w:pPr>
        <w:spacing w:after="120" w:line="312"/>
        <w:ind w:firstLine="480"/>
        <w:jc w:val="both"/>
      </w:pPr>
      <w:r>
        <w:rPr>
          <w:rFonts w:ascii="Calibri" w:eastAsia="SimHei"/>
          <w:color w:val="000000"/>
          <w:sz w:val="24"/>
          <w:szCs w:val="24"/>
        </w:rPr>
        <w:t xml:space="preserve">Fontes: IBGE, INEP (escolas particulares como proxy de renda), CAGED e OpenStreetMap. A combinacao gera um Score de Atratividade Comercial (SAC) que integra densidade de escolas particulares (proxy de renda), crescimento de emprego formal, renda per capita e presencia de competidores e âncoras comerciais. O SAC permite ranquear municipios e bairros por potencial de mercado.</w:t>
      </w:r>
    </w:p>
    <w:p>
      <w:pPr>
        <w:spacing w:after="120" w:line="312"/>
        <w:ind w:firstLine="480"/>
        <w:jc w:val="both"/>
      </w:pPr>
      <w:r>
        <w:rPr>
          <w:rFonts w:ascii="Calibri" w:eastAsia="SimHei"/>
          <w:color w:val="000000"/>
          <w:sz w:val="24"/>
          <w:szCs w:val="24"/>
        </w:rPr>
        <w:t xml:space="preserve">Modelo de Negocio: SaaS B2B com licenca anual de R$2.000 a R$8.000 por mes, mais vendas de relatorios individuais para franqueados. A vantagem competitiva e o uso de proxy de classe social via educacao combinada com dinamica de emprego e contexto geoespacial. INEP/IBGE sao dados publicos com citacao; OSM com licenca ODbL.</w:t>
      </w:r>
    </w:p>
    <w:p>
      <w:pPr>
        <w:pStyle w:val="Heading2"/>
        <w:spacing w:after="160" w:before="360" w:line="312"/>
      </w:pPr>
      <w:bookmarkStart w:id="100029" w:name="_Toc100029"/>
      <w:r>
        <w:rPr>
          <w:rFonts w:ascii="Calibri" w:eastAsia="SimHei"/>
          <w:b/>
          <w:bCs/>
          <w:color w:val="0B1220"/>
          <w:sz w:val="28"/>
          <w:szCs w:val="28"/>
        </w:rPr>
        <w:t xml:space="preserve">4.6 Inteligencia Ambiental para ESG e Credito Rural</w:t>
      </w:r>
      <w:bookmarkEnd w:id="100029"/>
    </w:p>
    <w:p>
      <w:pPr>
        <w:spacing w:after="120" w:line="312"/>
        <w:ind w:firstLine="480"/>
        <w:jc w:val="both"/>
      </w:pPr>
      <w:r>
        <w:rPr>
          <w:rFonts w:ascii="Calibri" w:eastAsia="SimHei"/>
          <w:color w:val="000000"/>
          <w:sz w:val="24"/>
          <w:szCs w:val="24"/>
        </w:rPr>
        <w:t xml:space="preserve">Problema: Bancos, traders e exportadores precisam comprovar conformidade socioambiental de suas cadeias produtivas, especialmente diante do Regulamento Europeu de Deforestacao (EUDR 2025-2026). A verificacao manual e cara, lenta e propensa a erros.</w:t>
      </w:r>
    </w:p>
    <w:p>
      <w:pPr>
        <w:spacing w:after="120" w:line="312"/>
        <w:ind w:firstLine="480"/>
        <w:jc w:val="both"/>
      </w:pPr>
      <w:r>
        <w:rPr>
          <w:rFonts w:ascii="Calibri" w:eastAsia="SimHei"/>
          <w:color w:val="000000"/>
          <w:sz w:val="24"/>
          <w:szCs w:val="24"/>
        </w:rPr>
        <w:t xml:space="preserve">Fontes: INPE TerraBrasilis, SICAR/CAR, IBGE para limites geograficos, INMET para dados climaticos. A combinacao cruza o poligono da propriedade com alertas de desmatamento, historico de incendios, dados climaticos e classificacao de bioma para gerar um Score Ambiental ESG por propriedade em tempo quase real.</w:t>
      </w:r>
    </w:p>
    <w:p>
      <w:pPr>
        <w:spacing w:after="120" w:line="312"/>
        <w:ind w:firstLine="480"/>
        <w:jc w:val="both"/>
      </w:pPr>
      <w:r>
        <w:rPr>
          <w:rFonts w:ascii="Calibri" w:eastAsia="SimHei"/>
          <w:color w:val="000000"/>
          <w:sz w:val="24"/>
          <w:szCs w:val="24"/>
        </w:rPr>
        <w:t xml:space="preserve">Modelo de Negocio: SaaS B2B com faixa de R$5 a R$30 por propriedade por mes, para bancos, trading companies e fundos ESG. A vantagem competitiva e o cruzamento geoespacial automatizado em tempo quase real, com camada climatica para distinguir eventos naturais de ilegais. SICAR requer notificacao ao MAPA para uso comercial; INPE proibe redistribuicao de raster bruto, mas analises derivadas sao permitidas.</w:t>
      </w:r>
    </w:p>
    <w:p>
      <w:pPr>
        <w:pStyle w:val="Heading2"/>
        <w:spacing w:after="160" w:before="360" w:line="312"/>
      </w:pPr>
      <w:bookmarkStart w:id="100030" w:name="_Toc100030"/>
      <w:r>
        <w:rPr>
          <w:rFonts w:ascii="Calibri" w:eastAsia="SimHei"/>
          <w:b/>
          <w:bCs/>
          <w:color w:val="0B1220"/>
          <w:sz w:val="28"/>
          <w:szCs w:val="28"/>
        </w:rPr>
        <w:t xml:space="preserve">4.7 Precificacao de Risco Climatico para Seguro Agricola</w:t>
      </w:r>
      <w:bookmarkEnd w:id="100030"/>
    </w:p>
    <w:p>
      <w:pPr>
        <w:spacing w:after="120" w:line="312"/>
        <w:ind w:firstLine="480"/>
        <w:jc w:val="both"/>
      </w:pPr>
      <w:r>
        <w:rPr>
          <w:rFonts w:ascii="Calibri" w:eastAsia="SimHei"/>
          <w:color w:val="000000"/>
          <w:sz w:val="24"/>
          <w:szCs w:val="24"/>
        </w:rPr>
        <w:t xml:space="preserve">Problema: Seguradoras precificam o risco agricola de forma grosseira, frequentemente a nivel de estado inteiro, sem considerar variacoes climaticas municipais e sazonalidades especificas. Isso resulta em precos desalinhados, antiselecao e insatisfacao do segurado.</w:t>
      </w:r>
    </w:p>
    <w:p>
      <w:pPr>
        <w:spacing w:after="120" w:line="312"/>
        <w:ind w:firstLine="480"/>
        <w:jc w:val="both"/>
      </w:pPr>
      <w:r>
        <w:rPr>
          <w:rFonts w:ascii="Calibri" w:eastAsia="SimHei"/>
          <w:color w:val="000000"/>
          <w:sz w:val="24"/>
          <w:szCs w:val="24"/>
        </w:rPr>
        <w:t xml:space="preserve">Fontes: INMET para dados meteorologicos, Comex Stat para dados de exportacao, IBGE PAM para producao agricola. A combinacao cruza anomalias climaticas, composicao de culturas e dependencia de exportacao para gerar um indice municipal de probabilidade de perdas agricolas.</w:t>
      </w:r>
    </w:p>
    <w:p>
      <w:pPr>
        <w:spacing w:after="120" w:line="312"/>
        <w:ind w:firstLine="480"/>
        <w:jc w:val="both"/>
      </w:pPr>
      <w:r>
        <w:rPr>
          <w:rFonts w:ascii="Calibri" w:eastAsia="SimHei"/>
          <w:color w:val="000000"/>
          <w:sz w:val="24"/>
          <w:szCs w:val="24"/>
        </w:rPr>
        <w:t xml:space="preserve">Modelo de Negocio: SaaS B2B para seguradoras, cooperativas de credito e trading companies agricolas. A vantagem competitiva e a engenharia espaco-temporal que cruza dados de estacoes com poligonos municipais. Comex Stat tem licenca CC BY-ND, tornando a redistribuicao da base modificada juridicamente sensivel, mas a venda de insights derivados e permitida.</w:t>
      </w:r>
    </w:p>
    <w:p>
      <w:pPr>
        <w:pStyle w:val="Heading2"/>
        <w:spacing w:after="160" w:before="360" w:line="312"/>
      </w:pPr>
      <w:bookmarkStart w:id="100031" w:name="_Toc100031"/>
      <w:r>
        <w:rPr>
          <w:rFonts w:ascii="Calibri" w:eastAsia="SimHei"/>
          <w:b/>
          <w:bCs/>
          <w:color w:val="0B1220"/>
          <w:sz w:val="28"/>
          <w:szCs w:val="28"/>
        </w:rPr>
        <w:t xml:space="preserve">4.8 Inteligencia Juridica (Litigation Analytics)</w:t>
      </w:r>
      <w:bookmarkEnd w:id="100031"/>
    </w:p>
    <w:p>
      <w:pPr>
        <w:spacing w:after="120" w:line="312"/>
        <w:ind w:firstLine="480"/>
        <w:jc w:val="both"/>
      </w:pPr>
      <w:r>
        <w:rPr>
          <w:rFonts w:ascii="Calibri" w:eastAsia="SimHei"/>
          <w:color w:val="000000"/>
          <w:sz w:val="24"/>
          <w:szCs w:val="24"/>
        </w:rPr>
        <w:t xml:space="preserve">Problema: Escritorios de advocacia e departamentos juridicos corporativos carecem de benchmarking objetivo para estrategia de litigacao. As decisoes sobre em quais foros litigar, quando propor acordos e quais teses defender sao baseadas em experiencia subjetiva, sem dados sistematicos.</w:t>
      </w:r>
    </w:p>
    <w:p>
      <w:pPr>
        <w:spacing w:after="120" w:line="312"/>
        <w:ind w:firstLine="480"/>
        <w:jc w:val="both"/>
      </w:pPr>
      <w:r>
        <w:rPr>
          <w:rFonts w:ascii="Calibri" w:eastAsia="SimHei"/>
          <w:color w:val="000000"/>
          <w:sz w:val="24"/>
          <w:szCs w:val="24"/>
        </w:rPr>
        <w:t xml:space="preserve">Fontes: DataJud e IBGE. A combinacao cruza volume de litigacao por tribunal e tema, normalizado pela base economica e populacao, para gerar taxas de judicializacao normalizadas que permitem benchmarking entre regioes e setores.</w:t>
      </w:r>
    </w:p>
    <w:p>
      <w:pPr>
        <w:spacing w:after="120" w:line="312"/>
        <w:ind w:firstLine="480"/>
        <w:jc w:val="both"/>
      </w:pPr>
      <w:r>
        <w:rPr>
          <w:rFonts w:ascii="Calibri" w:eastAsia="SimHei"/>
          <w:color w:val="000000"/>
          <w:sz w:val="24"/>
          <w:szCs w:val="24"/>
        </w:rPr>
        <w:t xml:space="preserve">Modelo de Negocio: SaaS B2B para escritorios (inteligencia de expansao) e departamentos juridicos/seguradoras (benchmark de risco). A vantagem competitiva e o trabalho cumulativo de limpeza, normalizacao e geocodificacao dos dados do DataJud, que cria barreiras de entrada por acumulo de conhecimento tecnico. Dados sao metadados publicos; risco LGPD se cruzar nomes individuais; manter nivel agregado.</w:t>
      </w:r>
    </w:p>
    <w:p>
      <w:pPr>
        <w:pStyle w:val="Heading2"/>
        <w:spacing w:after="160" w:before="360" w:line="312"/>
      </w:pPr>
      <w:bookmarkStart w:id="100032" w:name="_Toc100032"/>
      <w:r>
        <w:rPr>
          <w:rFonts w:ascii="Calibri" w:eastAsia="SimHei"/>
          <w:b/>
          <w:bCs/>
          <w:color w:val="0B1220"/>
          <w:sz w:val="28"/>
          <w:szCs w:val="28"/>
        </w:rPr>
        <w:t xml:space="preserve">4.9 Mapa de Oportunidade de Credito e Inclusao Financeira</w:t>
      </w:r>
      <w:bookmarkEnd w:id="100032"/>
    </w:p>
    <w:p>
      <w:pPr>
        <w:spacing w:after="120" w:line="312"/>
        <w:ind w:firstLine="480"/>
        <w:jc w:val="both"/>
      </w:pPr>
      <w:r>
        <w:rPr>
          <w:rFonts w:ascii="Calibri" w:eastAsia="SimHei"/>
          <w:color w:val="000000"/>
          <w:sz w:val="24"/>
          <w:szCs w:val="24"/>
        </w:rPr>
        <w:t xml:space="preserve">Problema: Fintechs nao sabem onde existe demanda solvente subatendida. A falta de inteligencia territorializada impede decisoes otimas de expansao de rede de correspondentes, concessao de credito e oferta de produtos financeiros.</w:t>
      </w:r>
    </w:p>
    <w:p>
      <w:pPr>
        <w:spacing w:after="120" w:line="312"/>
        <w:ind w:firstLine="480"/>
        <w:jc w:val="both"/>
      </w:pPr>
      <w:r>
        <w:rPr>
          <w:rFonts w:ascii="Calibri" w:eastAsia="SimHei"/>
          <w:color w:val="000000"/>
          <w:sz w:val="24"/>
          <w:szCs w:val="24"/>
        </w:rPr>
        <w:t xml:space="preserve">Fontes: BCB ESTBAN para dados de credito e agencias, IBGE para renda e demografia. A combinacao cruza penetracao financeira com renda e dinamismo economico para identificar espacos brancos de oportunidades de inclusao financeira, ou seja, localidades onde existe capacidade economica mas oferta financeira e insuficiente.</w:t>
      </w:r>
    </w:p>
    <w:p>
      <w:pPr>
        <w:spacing w:after="120" w:line="312"/>
        <w:ind w:firstLine="480"/>
        <w:jc w:val="both"/>
      </w:pPr>
      <w:r>
        <w:rPr>
          <w:rFonts w:ascii="Calibri" w:eastAsia="SimHei"/>
          <w:color w:val="000000"/>
          <w:sz w:val="24"/>
          <w:szCs w:val="24"/>
        </w:rPr>
        <w:t xml:space="preserve">Modelo de Negocio: SaaS B2B para inteligencia de fintechs, cooperativas de credito e adquirentes. A vantagem competitiva e a razao calibrada entre oferta de credito e capacidade economica local em granularidade municipal. Dados agregados publicos, sem dados pessoais ou sigilo bancario.</w:t>
      </w:r>
    </w:p>
    <w:p>
      <w:pPr>
        <w:pStyle w:val="Heading2"/>
        <w:spacing w:after="160" w:before="360" w:line="312"/>
      </w:pPr>
      <w:bookmarkStart w:id="100033" w:name="_Toc100033"/>
      <w:r>
        <w:rPr>
          <w:rFonts w:ascii="Calibri" w:eastAsia="SimHei"/>
          <w:b/>
          <w:bCs/>
          <w:color w:val="0B1220"/>
          <w:sz w:val="28"/>
          <w:szCs w:val="28"/>
        </w:rPr>
        <w:t xml:space="preserve">4.10 LexAnalytics - Jurimetria Preditiva</w:t>
      </w:r>
      <w:bookmarkEnd w:id="100033"/>
    </w:p>
    <w:p>
      <w:pPr>
        <w:spacing w:after="120" w:line="312"/>
        <w:ind w:firstLine="480"/>
        <w:jc w:val="both"/>
      </w:pPr>
      <w:r>
        <w:rPr>
          <w:rFonts w:ascii="Calibri" w:eastAsia="SimHei"/>
          <w:color w:val="000000"/>
          <w:sz w:val="24"/>
          <w:szCs w:val="24"/>
        </w:rPr>
        <w:t xml:space="preserve">Solucao de analise juridica preditiva que combina dados do DataJud, IBGE e BCB para prever duracao e desfecho de processos judiciais. Utiliza tecnicas de machine learning aplicadas ao historico de movimentacoes processuais, classes, tribunais e assuntos para gerar probabilidades de sucesso e estimativas de tempo por tipo de acao e foro.</w:t>
      </w:r>
    </w:p>
    <w:p>
      <w:pPr>
        <w:spacing w:after="120" w:line="312"/>
        <w:ind w:firstLine="480"/>
        <w:jc w:val="both"/>
      </w:pPr>
      <w:r>
        <w:rPr>
          <w:rFonts w:ascii="Calibri" w:eastAsia="SimHei"/>
          <w:color w:val="000000"/>
          <w:sz w:val="24"/>
          <w:szCs w:val="24"/>
        </w:rPr>
        <w:t xml:space="preserve">Modelo de Negocio: SaaS B2B com tiers de R$297/mes (Starter) e R$997/mes (Professional). O mercado de jurimetria e crescente no Brasil, com forte demanda de escritorios de advocacia e departamentos juridicos corporativos por inteligencia de dados aplicada ao direito.</w:t>
      </w:r>
    </w:p>
    <w:p>
      <w:pPr>
        <w:pStyle w:val="Heading2"/>
        <w:spacing w:after="160" w:before="360" w:line="312"/>
      </w:pPr>
      <w:bookmarkStart w:id="100034" w:name="_Toc100034"/>
      <w:r>
        <w:rPr>
          <w:rFonts w:ascii="Calibri" w:eastAsia="SimHei"/>
          <w:b/>
          <w:bCs/>
          <w:color w:val="0B1220"/>
          <w:sz w:val="28"/>
          <w:szCs w:val="28"/>
        </w:rPr>
        <w:t xml:space="preserve">4.11 SaudeGeo Intelligence</w:t>
      </w:r>
      <w:bookmarkEnd w:id="100034"/>
    </w:p>
    <w:p>
      <w:pPr>
        <w:spacing w:after="120" w:line="312"/>
        <w:ind w:firstLine="480"/>
        <w:jc w:val="both"/>
      </w:pPr>
      <w:r>
        <w:rPr>
          <w:rFonts w:ascii="Calibri" w:eastAsia="SimHei"/>
          <w:color w:val="000000"/>
          <w:sz w:val="24"/>
          <w:szCs w:val="24"/>
        </w:rPr>
        <w:t xml:space="preserve">Plataforma de inteligencia de saude publica que integra dados do DATASUS, IBGE, INMET e INPE para previsao de surtos, otimizacao de recursos hospitalares e mapeamento de vulnerabilidades em saude. Combina dados de internacoes, mortalidade, cobertura de servicos, fatores climaticos e ambientais para gerar alertas antecipados e dashboards de gestao.</w:t>
      </w:r>
    </w:p>
    <w:p>
      <w:pPr>
        <w:spacing w:after="120" w:line="312"/>
        <w:ind w:firstLine="480"/>
        <w:jc w:val="both"/>
      </w:pPr>
      <w:r>
        <w:rPr>
          <w:rFonts w:ascii="Calibri" w:eastAsia="SimHei"/>
          <w:color w:val="000000"/>
          <w:sz w:val="24"/>
          <w:szCs w:val="24"/>
        </w:rPr>
        <w:t xml:space="preserve">Modelo de Negocio: Freemium B2G/B2B, desde gratuito ate R$4.997/mes para modulos avancados. O mercado de saude publica no Brasil e massivo, com mais de 5.500 municipios que都需要 inteligencia de dados para alocacao de recursos de saude.</w:t>
      </w:r>
    </w:p>
    <w:p>
      <w:pPr>
        <w:pStyle w:val="Heading2"/>
        <w:spacing w:after="160" w:before="360" w:line="312"/>
      </w:pPr>
      <w:bookmarkStart w:id="100035" w:name="_Toc100035"/>
      <w:r>
        <w:rPr>
          <w:rFonts w:ascii="Calibri" w:eastAsia="SimHei"/>
          <w:b/>
          <w:bCs/>
          <w:color w:val="0B1220"/>
          <w:sz w:val="28"/>
          <w:szCs w:val="28"/>
        </w:rPr>
        <w:t xml:space="preserve">4.12 TradePulse Brasil</w:t>
      </w:r>
      <w:bookmarkEnd w:id="100035"/>
    </w:p>
    <w:p>
      <w:pPr>
        <w:spacing w:after="120" w:line="312"/>
        <w:ind w:firstLine="480"/>
        <w:jc w:val="both"/>
      </w:pPr>
      <w:r>
        <w:rPr>
          <w:rFonts w:ascii="Calibri" w:eastAsia="SimHei"/>
          <w:color w:val="000000"/>
          <w:sz w:val="24"/>
          <w:szCs w:val="24"/>
        </w:rPr>
        <w:t xml:space="preserve">Inteligencia de comercio exterior que integra dados do Comex Stat, BCB e IBGE para identificacao de oportunidades de exportacao e importacao. Analisa fluxos comerciais, tarifas, competitividade setorial e tendencias de mercado para orientar decisoes de empresas exportadoras e importadoras.</w:t>
      </w:r>
    </w:p>
    <w:p>
      <w:pPr>
        <w:spacing w:after="120" w:line="312"/>
        <w:ind w:firstLine="480"/>
        <w:jc w:val="both"/>
      </w:pPr>
      <w:r>
        <w:rPr>
          <w:rFonts w:ascii="Calibri" w:eastAsia="SimHei"/>
          <w:color w:val="000000"/>
          <w:sz w:val="24"/>
          <w:szCs w:val="24"/>
        </w:rPr>
        <w:t xml:space="preserve">Modelo de Negocio: SaaS B2B freemium, desde gratuito ate R$1.997/mes. Atento a restricao CC BY-NC-ND 4.0 do Comex Stat, que limita o uso comercial dos dados brutos, sendo recomendavel buscar autorizacao do MDIC ou utilizar dados derivados do IBGE PAM/PPM como alternativa.</w:t>
      </w:r>
    </w:p>
    <w:p>
      <w:pPr>
        <w:pStyle w:val="Heading2"/>
        <w:spacing w:after="160" w:before="360" w:line="312"/>
      </w:pPr>
      <w:bookmarkStart w:id="100036" w:name="_Toc100036"/>
      <w:r>
        <w:rPr>
          <w:rFonts w:ascii="Calibri" w:eastAsia="SimHei"/>
          <w:b/>
          <w:bCs/>
          <w:color w:val="0B1220"/>
          <w:sz w:val="28"/>
          <w:szCs w:val="28"/>
        </w:rPr>
        <w:t xml:space="preserve">4.13 AgroRisco</w:t>
      </w:r>
      <w:bookmarkEnd w:id="100036"/>
    </w:p>
    <w:p>
      <w:pPr>
        <w:spacing w:after="120" w:line="312"/>
        <w:ind w:firstLine="480"/>
        <w:jc w:val="both"/>
      </w:pPr>
      <w:r>
        <w:rPr>
          <w:rFonts w:ascii="Calibri" w:eastAsia="SimHei"/>
          <w:color w:val="000000"/>
          <w:sz w:val="24"/>
          <w:szCs w:val="24"/>
        </w:rPr>
        <w:t xml:space="preserve">Radar de risco climatico agricola que combina dados do INMET, INPE, IBGE e Comex Stat para gerar um indice de risco municipal com atualizacao diaria. Identifica regioes com maior probabilidade de perdas agricolas, antecipa problemas de safra e orienta decisoes de contratacao de seguro e hedge.</w:t>
      </w:r>
    </w:p>
    <w:p>
      <w:pPr>
        <w:spacing w:after="120" w:line="312"/>
        <w:ind w:firstLine="480"/>
        <w:jc w:val="both"/>
      </w:pPr>
      <w:r>
        <w:rPr>
          <w:rFonts w:ascii="Calibri" w:eastAsia="SimHei"/>
          <w:color w:val="000000"/>
          <w:sz w:val="24"/>
          <w:szCs w:val="24"/>
        </w:rPr>
        <w:t xml:space="preserve">Investimento estimado: R$150-300 mil, equipe de 3 pessoas, prazo de 6 a 9 meses para MVP. O mercado de seguro agricola no Brasil cresce dois digitos ao ano, impulsionado por politicas governamentais e demanda internacional por commodities.</w:t>
      </w:r>
    </w:p>
    <w:p>
      <w:pPr>
        <w:pStyle w:val="Heading2"/>
        <w:spacing w:after="160" w:before="360" w:line="312"/>
      </w:pPr>
      <w:bookmarkStart w:id="100037" w:name="_Toc100037"/>
      <w:r>
        <w:rPr>
          <w:rFonts w:ascii="Calibri" w:eastAsia="SimHei"/>
          <w:b/>
          <w:bCs/>
          <w:color w:val="0B1220"/>
          <w:sz w:val="28"/>
          <w:szCs w:val="28"/>
        </w:rPr>
        <w:t xml:space="preserve">4.14 GeoExpansao</w:t>
      </w:r>
      <w:bookmarkEnd w:id="100037"/>
    </w:p>
    <w:p>
      <w:pPr>
        <w:spacing w:after="120" w:line="312"/>
        <w:ind w:firstLine="480"/>
        <w:jc w:val="both"/>
      </w:pPr>
      <w:r>
        <w:rPr>
          <w:rFonts w:ascii="Calibri" w:eastAsia="SimHei"/>
          <w:color w:val="000000"/>
          <w:sz w:val="24"/>
          <w:szCs w:val="24"/>
        </w:rPr>
        <w:t xml:space="preserve">Inteligencia de expansao comercial que combina dados do IBGE, CAGED, BCB e DATASUS para gerar um Score de Atratividade Comercial (SAC) ponderado: demografico 30%, economico 30%, infraestrutura 20% e crescimento 20%. Permite ranquear municipios e bairros por potencial de mercado para redes de varejo, franquias e servicos.</w:t>
      </w:r>
    </w:p>
    <w:p>
      <w:pPr>
        <w:spacing w:after="120" w:line="312"/>
        <w:ind w:firstLine="480"/>
        <w:jc w:val="both"/>
      </w:pPr>
      <w:r>
        <w:rPr>
          <w:rFonts w:ascii="Calibri" w:eastAsia="SimHei"/>
          <w:color w:val="000000"/>
          <w:sz w:val="24"/>
          <w:szCs w:val="24"/>
        </w:rPr>
        <w:t xml:space="preserve">Investimento estimado: R$100-250 mil, equipe de 2 a 3 pessoas, prazo de 4 a 6 meses para MVP. A modelagem do SAC integra multiplas dimensoes em um indice acionavel, facilitando a tomada de decisao por gestores de expansao.</w:t>
      </w:r>
    </w:p>
    <w:p>
      <w:pPr>
        <w:pStyle w:val="Heading2"/>
        <w:spacing w:after="160" w:before="360" w:line="312"/>
      </w:pPr>
      <w:bookmarkStart w:id="100038" w:name="_Toc100038"/>
      <w:r>
        <w:rPr>
          <w:rFonts w:ascii="Calibri" w:eastAsia="SimHei"/>
          <w:b/>
          <w:bCs/>
          <w:color w:val="0B1220"/>
          <w:sz w:val="28"/>
          <w:szCs w:val="28"/>
        </w:rPr>
        <w:t xml:space="preserve">4.15 LexMapa - Observatorio de Risco Juridico</w:t>
      </w:r>
      <w:bookmarkEnd w:id="100038"/>
    </w:p>
    <w:p>
      <w:pPr>
        <w:spacing w:after="120" w:line="312"/>
        <w:ind w:firstLine="480"/>
        <w:jc w:val="both"/>
      </w:pPr>
      <w:r>
        <w:rPr>
          <w:rFonts w:ascii="Calibri" w:eastAsia="SimHei"/>
          <w:color w:val="000000"/>
          <w:sz w:val="24"/>
          <w:szCs w:val="24"/>
        </w:rPr>
        <w:t xml:space="preserve">Observatorio de risco juridico que combina dados do DataJud (90 tribunais), CAGED, Comex Stat e IBGE para gerar o Indice de Risco Juridico (IRJ) em tres niveis: municipal, setorial e procedimental. Permite identificar regioes e setores com maior propensao a litigacao, antecipar tendencias de judicializacao e orientar estrategias preventivas.</w:t>
      </w:r>
    </w:p>
    <w:p>
      <w:pPr>
        <w:spacing w:after="120" w:line="312"/>
        <w:ind w:firstLine="480"/>
        <w:jc w:val="both"/>
      </w:pPr>
      <w:r>
        <w:rPr>
          <w:rFonts w:ascii="Calibri" w:eastAsia="SimHei"/>
          <w:color w:val="000000"/>
          <w:sz w:val="24"/>
          <w:szCs w:val="24"/>
        </w:rPr>
        <w:t xml:space="preserve">Investimento estimado: R$250-500 mil, equipe de 4 pessoas, prazo de 8 a 12 meses para produto completo. O diferencial esta na combinacao de dados judiciais com emprego, comercio e contexto socioeconomico para uma visao holistica do risco juridico.</w:t>
      </w:r>
    </w:p>
    <w:p>
      <w:pPr>
        <w:pStyle w:val="Heading2"/>
        <w:spacing w:after="160" w:before="360" w:line="312"/>
      </w:pPr>
      <w:bookmarkStart w:id="100039" w:name="_Toc100039"/>
      <w:r>
        <w:rPr>
          <w:rFonts w:ascii="Calibri" w:eastAsia="SimHei"/>
          <w:b/>
          <w:bCs/>
          <w:color w:val="0B1220"/>
          <w:sz w:val="28"/>
          <w:szCs w:val="28"/>
        </w:rPr>
        <w:t xml:space="preserve">4.16 RiskJudge - Analise de Risco Juridico e Financeiro</w:t>
      </w:r>
      <w:bookmarkEnd w:id="100039"/>
    </w:p>
    <w:p>
      <w:pPr>
        <w:spacing w:after="120" w:line="312"/>
        <w:ind w:firstLine="480"/>
        <w:jc w:val="both"/>
      </w:pPr>
      <w:r>
        <w:rPr>
          <w:rFonts w:ascii="Calibri" w:eastAsia="SimHei"/>
          <w:color w:val="000000"/>
          <w:sz w:val="24"/>
          <w:szCs w:val="24"/>
        </w:rPr>
        <w:t xml:space="preserve">Plataforma B2B de avaliacao de risco que combina dados do DataJud com dados de CNPJ para gerar um Score de Litigiosidade por empresa. Permite que credores, parceiros comerciais e investidores avaliem o historico juridico de contrapartes antes de fechar negocios, reduzindo risco de inadimplencia e litigios.</w:t>
      </w:r>
    </w:p>
    <w:p>
      <w:pPr>
        <w:spacing w:after="120" w:line="312"/>
        <w:ind w:firstLine="480"/>
        <w:jc w:val="both"/>
      </w:pPr>
      <w:r>
        <w:rPr>
          <w:rFonts w:ascii="Calibri" w:eastAsia="SimHei"/>
          <w:color w:val="000000"/>
          <w:sz w:val="24"/>
          <w:szCs w:val="24"/>
        </w:rPr>
        <w:t xml:space="preserve">Modelo de Negocio: SaaS B2B Freemium. A combinacao de metadados processuais com cadastro empresarial permite criar perfis de risco que nenhum bureau tradicional oferece de forma automatizada, especialmente para analise de PMEs e microempresas.</w:t>
      </w:r>
    </w:p>
    <w:p>
      <w:pPr>
        <w:pStyle w:val="Heading2"/>
        <w:spacing w:after="160" w:before="360" w:line="312"/>
      </w:pPr>
      <w:bookmarkStart w:id="100040" w:name="_Toc100040"/>
      <w:r>
        <w:rPr>
          <w:rFonts w:ascii="Calibri" w:eastAsia="SimHei"/>
          <w:b/>
          <w:bCs/>
          <w:color w:val="0B1220"/>
          <w:sz w:val="28"/>
          <w:szCs w:val="28"/>
        </w:rPr>
        <w:t xml:space="preserve">4.17 PharmaMap - Inteligencia Geografica Farmaceutica</w:t>
      </w:r>
      <w:bookmarkEnd w:id="100040"/>
    </w:p>
    <w:p>
      <w:pPr>
        <w:spacing w:after="120" w:line="312"/>
        <w:ind w:firstLine="480"/>
        <w:jc w:val="both"/>
      </w:pPr>
      <w:r>
        <w:rPr>
          <w:rFonts w:ascii="Calibri" w:eastAsia="SimHei"/>
          <w:color w:val="000000"/>
          <w:sz w:val="24"/>
          <w:szCs w:val="24"/>
        </w:rPr>
        <w:t xml:space="preserve">Inteligencia de expansao para farmacias e laboratorios que combina dados do DATASUS e IBGE para mapear bolsoes de doencas cronicas, demanda por medicamentos e cobertura de servicos farmaceuticos. Permite identificar localidades subatendidas com alta demanda potencial para expansao de redes de farmacias e distribuicao de medicamentos.</w:t>
      </w:r>
    </w:p>
    <w:p>
      <w:pPr>
        <w:spacing w:after="120" w:line="312"/>
        <w:ind w:firstLine="480"/>
        <w:jc w:val="both"/>
      </w:pPr>
      <w:r>
        <w:rPr>
          <w:rFonts w:ascii="Calibri" w:eastAsia="SimHei"/>
          <w:color w:val="000000"/>
          <w:sz w:val="24"/>
          <w:szCs w:val="24"/>
        </w:rPr>
        <w:t xml:space="preserve">Modelo de Negocio: Marketplace conectando farmacias/laboratorios a municipios subatendidos, combinado com assinatura SaaS. O cruzamento de dados de morbidade com demografia e geolocalizacao de estabelecimentos gera insights unicos para o setor farmaceutico.</w:t>
      </w:r>
    </w:p>
    <w:p>
      <w:pPr>
        <w:pStyle w:val="Heading2"/>
        <w:spacing w:after="160" w:before="360" w:line="312"/>
      </w:pPr>
      <w:bookmarkStart w:id="100041" w:name="_Toc100041"/>
      <w:r>
        <w:rPr>
          <w:rFonts w:ascii="Calibri" w:eastAsia="SimHei"/>
          <w:b/>
          <w:bCs/>
          <w:color w:val="0B1220"/>
          <w:sz w:val="28"/>
          <w:szCs w:val="28"/>
        </w:rPr>
        <w:t xml:space="preserve">4.18 AgroRisk - Radar Climatico e Logistico</w:t>
      </w:r>
      <w:bookmarkEnd w:id="100041"/>
    </w:p>
    <w:p>
      <w:pPr>
        <w:spacing w:after="120" w:line="312"/>
        <w:ind w:firstLine="480"/>
        <w:jc w:val="both"/>
      </w:pPr>
      <w:r>
        <w:rPr>
          <w:rFonts w:ascii="Calibri" w:eastAsia="SimHei"/>
          <w:color w:val="000000"/>
          <w:sz w:val="24"/>
          <w:szCs w:val="24"/>
        </w:rPr>
        <w:t xml:space="preserve">Radar de risco para o agronegocio que combina dados do INPE e Comex Stat para gerar sinais preditivos para traders e seguradoras. Monitora risco climatico, logistica de exportacao e dinâmica de precos internacionais em tempo proximo ao real, permitindo decisoes antecipadas de compra e venda de commodities.</w:t>
      </w:r>
    </w:p>
    <w:p>
      <w:pPr>
        <w:spacing w:after="120" w:line="312"/>
        <w:ind w:firstLine="480"/>
        <w:jc w:val="both"/>
      </w:pPr>
      <w:r>
        <w:rPr>
          <w:rFonts w:ascii="Calibri" w:eastAsia="SimHei"/>
          <w:color w:val="000000"/>
          <w:sz w:val="24"/>
          <w:szCs w:val="24"/>
        </w:rPr>
        <w:t xml:space="preserve">Modelo de Negocio: SaaS B2B de alto valor, com foco em trading companies, cooperativas agricolas e seguradoras. O diferencial e a integracao de dados ambientais e comerciais em uma plataforma unificada, com alertas automaticos baseados em combinacoes de sinais.</w:t>
      </w:r>
    </w:p>
    <w:p>
      <w:pPr>
        <w:spacing w:after="200"/>
      </w:pPr>
    </w:p>
    <w:p>
      <w:pPr>
        <w:keepNext/>
        <w:spacing w:after="200" w:before="200"/>
      </w:pPr>
      <w:r>
        <w:rPr>
          <w:rFonts w:ascii="Calibri" w:eastAsia="SimHei"/>
          <w:b/>
          <w:bCs/>
          <w:color w:val="000000"/>
          <w:sz w:val="22"/>
          <w:szCs w:val="22"/>
        </w:rPr>
        <w:t xml:space="preserve">Tabela 3: Comparativo de Ideias de Negocio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pct" w:w="18%"/>
            <w:tcBorders>
              <w:top w:val="single" w:color="529286" w:sz="2"/>
              <w:left w:val="none"/>
              <w:bottom w:val="single" w:color="529286" w:sz="2"/>
              <w:right w:val="none"/>
            </w:tcBorders>
            <w:shd w:fill="529286" w:val="clear"/>
            <w:tcMar>
              <w:top w:type="dxa" w:w="60"/>
              <w:left w:type="dxa" w:w="120"/>
              <w:bottom w:type="dxa" w:w="60"/>
              <w:right w:type="dxa" w:w="120"/>
            </w:tcMar>
            <w:vAlign w:val="center"/>
          </w:tcPr>
          <w:p>
            <w:pPr>
              <w:spacing w:line="276"/>
              <w:jc w:val="center"/>
            </w:pPr>
            <w:r>
              <w:rPr>
                <w:rFonts w:ascii="Calibri" w:eastAsia="SimHei"/>
                <w:b/>
                <w:bCs/>
                <w:color w:val="FFFFFF"/>
                <w:sz w:val="20"/>
                <w:szCs w:val="20"/>
              </w:rPr>
              <w:t xml:space="preserve">Ideia</w:t>
            </w:r>
          </w:p>
        </w:tc>
        <w:tc>
          <w:tcPr>
            <w:tcW w:type="pct" w:w="28%"/>
            <w:tcBorders>
              <w:top w:val="single" w:color="529286" w:sz="2"/>
              <w:left w:val="none"/>
              <w:bottom w:val="single" w:color="529286" w:sz="2"/>
              <w:right w:val="none"/>
            </w:tcBorders>
            <w:shd w:fill="529286" w:val="clear"/>
            <w:tcMar>
              <w:top w:type="dxa" w:w="60"/>
              <w:left w:type="dxa" w:w="120"/>
              <w:bottom w:type="dxa" w:w="60"/>
              <w:right w:type="dxa" w:w="120"/>
            </w:tcMar>
            <w:vAlign w:val="center"/>
          </w:tcPr>
          <w:p>
            <w:pPr>
              <w:spacing w:line="276"/>
              <w:jc w:val="center"/>
            </w:pPr>
            <w:r>
              <w:rPr>
                <w:rFonts w:ascii="Calibri" w:eastAsia="SimHei"/>
                <w:b/>
                <w:bCs/>
                <w:color w:val="FFFFFF"/>
                <w:sz w:val="20"/>
                <w:szCs w:val="20"/>
              </w:rPr>
              <w:t xml:space="preserve">Fontes Principais</w:t>
            </w:r>
          </w:p>
        </w:tc>
        <w:tc>
          <w:tcPr>
            <w:tcW w:type="pct" w:w="18%"/>
            <w:tcBorders>
              <w:top w:val="single" w:color="529286" w:sz="2"/>
              <w:left w:val="none"/>
              <w:bottom w:val="single" w:color="529286" w:sz="2"/>
              <w:right w:val="none"/>
            </w:tcBorders>
            <w:shd w:fill="529286" w:val="clear"/>
            <w:tcMar>
              <w:top w:type="dxa" w:w="60"/>
              <w:left w:type="dxa" w:w="120"/>
              <w:bottom w:type="dxa" w:w="60"/>
              <w:right w:type="dxa" w:w="120"/>
            </w:tcMar>
            <w:vAlign w:val="center"/>
          </w:tcPr>
          <w:p>
            <w:pPr>
              <w:spacing w:line="276"/>
              <w:jc w:val="center"/>
            </w:pPr>
            <w:r>
              <w:rPr>
                <w:rFonts w:ascii="Calibri" w:eastAsia="SimHei"/>
                <w:b/>
                <w:bCs/>
                <w:color w:val="FFFFFF"/>
                <w:sz w:val="20"/>
                <w:szCs w:val="20"/>
              </w:rPr>
              <w:t xml:space="preserve">Modelo</w:t>
            </w:r>
          </w:p>
        </w:tc>
        <w:tc>
          <w:tcPr>
            <w:tcW w:type="pct" w:w="14%"/>
            <w:tcBorders>
              <w:top w:val="single" w:color="529286" w:sz="2"/>
              <w:left w:val="none"/>
              <w:bottom w:val="single" w:color="529286" w:sz="2"/>
              <w:right w:val="none"/>
            </w:tcBorders>
            <w:shd w:fill="529286" w:val="clear"/>
            <w:tcMar>
              <w:top w:type="dxa" w:w="60"/>
              <w:left w:type="dxa" w:w="120"/>
              <w:bottom w:type="dxa" w:w="60"/>
              <w:right w:type="dxa" w:w="120"/>
            </w:tcMar>
            <w:vAlign w:val="center"/>
          </w:tcPr>
          <w:p>
            <w:pPr>
              <w:spacing w:line="276"/>
              <w:jc w:val="center"/>
            </w:pPr>
            <w:r>
              <w:rPr>
                <w:rFonts w:ascii="Calibri" w:eastAsia="SimHei"/>
                <w:b/>
                <w:bCs/>
                <w:color w:val="FFFFFF"/>
                <w:sz w:val="20"/>
                <w:szCs w:val="20"/>
              </w:rPr>
              <w:t xml:space="preserve">Complexidade</w:t>
            </w:r>
          </w:p>
        </w:tc>
        <w:tc>
          <w:tcPr>
            <w:tcW w:type="pct" w:w="22%"/>
            <w:tcBorders>
              <w:top w:val="single" w:color="529286" w:sz="2"/>
              <w:left w:val="none"/>
              <w:bottom w:val="single" w:color="529286" w:sz="2"/>
              <w:right w:val="none"/>
            </w:tcBorders>
            <w:shd w:fill="529286" w:val="clear"/>
            <w:tcMar>
              <w:top w:type="dxa" w:w="60"/>
              <w:left w:type="dxa" w:w="120"/>
              <w:bottom w:type="dxa" w:w="60"/>
              <w:right w:type="dxa" w:w="120"/>
            </w:tcMar>
            <w:vAlign w:val="center"/>
          </w:tcPr>
          <w:p>
            <w:pPr>
              <w:spacing w:line="276"/>
              <w:jc w:val="center"/>
            </w:pPr>
            <w:r>
              <w:rPr>
                <w:rFonts w:ascii="Calibri" w:eastAsia="SimHei"/>
                <w:b/>
                <w:bCs/>
                <w:color w:val="FFFFFF"/>
                <w:sz w:val="20"/>
                <w:szCs w:val="20"/>
              </w:rPr>
              <w:t xml:space="preserve">Barreira Legal</w:t>
            </w:r>
          </w:p>
        </w:tc>
      </w:tr>
      <w:tr>
        <w:trPr>
          <w:cantSplit/>
        </w:trPr>
        <w:tc>
          <w:tcPr>
            <w:tcW w:type="pct" w:w="18%"/>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Radar Imobiliario</w:t>
            </w:r>
          </w:p>
        </w:tc>
        <w:tc>
          <w:tcPr>
            <w:tcW w:type="pct" w:w="28%"/>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FipeZAP, OSM, IBGE</w:t>
            </w:r>
          </w:p>
        </w:tc>
        <w:tc>
          <w:tcPr>
            <w:tcW w:type="pct" w:w="18%"/>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SaaS B2B/B2C</w:t>
            </w:r>
          </w:p>
        </w:tc>
        <w:tc>
          <w:tcPr>
            <w:tcW w:type="pct" w:w="14%"/>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Media</w:t>
            </w:r>
          </w:p>
        </w:tc>
        <w:tc>
          <w:tcPr>
            <w:tcW w:type="pct" w:w="22%"/>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Baixa</w:t>
            </w:r>
          </w:p>
        </w:tc>
      </w:tr>
      <w:tr>
        <w:trPr>
          <w:cantSplit/>
        </w:trPr>
        <w:tc>
          <w:tcPr>
            <w:tcW w:type="pct" w:w="18%"/>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Term. Inadimplencia</w:t>
            </w:r>
          </w:p>
        </w:tc>
        <w:tc>
          <w:tcPr>
            <w:tcW w:type="pct" w:w="28%"/>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DataJud, CAGED, BCB</w:t>
            </w:r>
          </w:p>
        </w:tc>
        <w:tc>
          <w:tcPr>
            <w:tcW w:type="pct" w:w="18%"/>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API B2B</w:t>
            </w:r>
          </w:p>
        </w:tc>
        <w:tc>
          <w:tcPr>
            <w:tcW w:type="pct" w:w="14%"/>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Media</w:t>
            </w:r>
          </w:p>
        </w:tc>
        <w:tc>
          <w:tcPr>
            <w:tcW w:type="pct" w:w="22%"/>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Baixa</w:t>
            </w:r>
          </w:p>
        </w:tc>
      </w:tr>
      <w:tr>
        <w:trPr>
          <w:cantSplit/>
        </w:trPr>
        <w:tc>
          <w:tcPr>
            <w:tcW w:type="pct" w:w="18%"/>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Clima-Saude</w:t>
            </w:r>
          </w:p>
        </w:tc>
        <w:tc>
          <w:tcPr>
            <w:tcW w:type="pct" w:w="28%"/>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DATASUS, INMET, INPE</w:t>
            </w:r>
          </w:p>
        </w:tc>
        <w:tc>
          <w:tcPr>
            <w:tcW w:type="pct" w:w="18%"/>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SaaS B2G/B2B</w:t>
            </w:r>
          </w:p>
        </w:tc>
        <w:tc>
          <w:tcPr>
            <w:tcW w:type="pct" w:w="14%"/>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Alta</w:t>
            </w:r>
          </w:p>
        </w:tc>
        <w:tc>
          <w:tcPr>
            <w:tcW w:type="pct" w:w="22%"/>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Baixa</w:t>
            </w:r>
          </w:p>
        </w:tc>
      </w:tr>
      <w:tr>
        <w:trPr>
          <w:cantSplit/>
        </w:trPr>
        <w:tc>
          <w:tcPr>
            <w:tcW w:type="pct" w:w="18%"/>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Risco Trabalhista</w:t>
            </w:r>
          </w:p>
        </w:tc>
        <w:tc>
          <w:tcPr>
            <w:tcW w:type="pct" w:w="28%"/>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CAGED, DataJud, IBGE</w:t>
            </w:r>
          </w:p>
        </w:tc>
        <w:tc>
          <w:tcPr>
            <w:tcW w:type="pct" w:w="18%"/>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SaaS B2B</w:t>
            </w:r>
          </w:p>
        </w:tc>
        <w:tc>
          <w:tcPr>
            <w:tcW w:type="pct" w:w="14%"/>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Media</w:t>
            </w:r>
          </w:p>
        </w:tc>
        <w:tc>
          <w:tcPr>
            <w:tcW w:type="pct" w:w="22%"/>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Baixa</w:t>
            </w:r>
          </w:p>
        </w:tc>
      </w:tr>
      <w:tr>
        <w:trPr>
          <w:cantSplit/>
        </w:trPr>
        <w:tc>
          <w:tcPr>
            <w:tcW w:type="pct" w:w="18%"/>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Radar Franquias</w:t>
            </w:r>
          </w:p>
        </w:tc>
        <w:tc>
          <w:tcPr>
            <w:tcW w:type="pct" w:w="28%"/>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IBGE, INEP, CAGED, OSM</w:t>
            </w:r>
          </w:p>
        </w:tc>
        <w:tc>
          <w:tcPr>
            <w:tcW w:type="pct" w:w="18%"/>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SaaS B2B</w:t>
            </w:r>
          </w:p>
        </w:tc>
        <w:tc>
          <w:tcPr>
            <w:tcW w:type="pct" w:w="14%"/>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Media</w:t>
            </w:r>
          </w:p>
        </w:tc>
        <w:tc>
          <w:tcPr>
            <w:tcW w:type="pct" w:w="22%"/>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Baixa</w:t>
            </w:r>
          </w:p>
        </w:tc>
      </w:tr>
      <w:tr>
        <w:trPr>
          <w:cantSplit/>
        </w:trPr>
        <w:tc>
          <w:tcPr>
            <w:tcW w:type="pct" w:w="18%"/>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ESG Ambiental</w:t>
            </w:r>
          </w:p>
        </w:tc>
        <w:tc>
          <w:tcPr>
            <w:tcW w:type="pct" w:w="28%"/>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INPE, SICAR, IBGE</w:t>
            </w:r>
          </w:p>
        </w:tc>
        <w:tc>
          <w:tcPr>
            <w:tcW w:type="pct" w:w="18%"/>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SaaS B2B</w:t>
            </w:r>
          </w:p>
        </w:tc>
        <w:tc>
          <w:tcPr>
            <w:tcW w:type="pct" w:w="14%"/>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Alta</w:t>
            </w:r>
          </w:p>
        </w:tc>
        <w:tc>
          <w:tcPr>
            <w:tcW w:type="pct" w:w="22%"/>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Media</w:t>
            </w:r>
          </w:p>
        </w:tc>
      </w:tr>
      <w:tr>
        <w:trPr>
          <w:cantSplit/>
        </w:trPr>
        <w:tc>
          <w:tcPr>
            <w:tcW w:type="pct" w:w="18%"/>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Seguro Agricola</w:t>
            </w:r>
          </w:p>
        </w:tc>
        <w:tc>
          <w:tcPr>
            <w:tcW w:type="pct" w:w="28%"/>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INMET, Comex, IBGE</w:t>
            </w:r>
          </w:p>
        </w:tc>
        <w:tc>
          <w:tcPr>
            <w:tcW w:type="pct" w:w="18%"/>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SaaS B2B</w:t>
            </w:r>
          </w:p>
        </w:tc>
        <w:tc>
          <w:tcPr>
            <w:tcW w:type="pct" w:w="14%"/>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Alta</w:t>
            </w:r>
          </w:p>
        </w:tc>
        <w:tc>
          <w:tcPr>
            <w:tcW w:type="pct" w:w="22%"/>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Media</w:t>
            </w:r>
          </w:p>
        </w:tc>
      </w:tr>
      <w:tr>
        <w:trPr>
          <w:cantSplit/>
        </w:trPr>
        <w:tc>
          <w:tcPr>
            <w:tcW w:type="pct" w:w="18%"/>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Inteligencia Juridica</w:t>
            </w:r>
          </w:p>
        </w:tc>
        <w:tc>
          <w:tcPr>
            <w:tcW w:type="pct" w:w="28%"/>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DataJud, IBGE</w:t>
            </w:r>
          </w:p>
        </w:tc>
        <w:tc>
          <w:tcPr>
            <w:tcW w:type="pct" w:w="18%"/>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SaaS B2B</w:t>
            </w:r>
          </w:p>
        </w:tc>
        <w:tc>
          <w:tcPr>
            <w:tcW w:type="pct" w:w="14%"/>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Alta</w:t>
            </w:r>
          </w:p>
        </w:tc>
        <w:tc>
          <w:tcPr>
            <w:tcW w:type="pct" w:w="22%"/>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Baixa</w:t>
            </w:r>
          </w:p>
        </w:tc>
      </w:tr>
      <w:tr>
        <w:trPr>
          <w:cantSplit/>
        </w:trPr>
        <w:tc>
          <w:tcPr>
            <w:tcW w:type="pct" w:w="18%"/>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Mapa Credito</w:t>
            </w:r>
          </w:p>
        </w:tc>
        <w:tc>
          <w:tcPr>
            <w:tcW w:type="pct" w:w="28%"/>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BCB ESTBAN, IBGE</w:t>
            </w:r>
          </w:p>
        </w:tc>
        <w:tc>
          <w:tcPr>
            <w:tcW w:type="pct" w:w="18%"/>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SaaS B2B</w:t>
            </w:r>
          </w:p>
        </w:tc>
        <w:tc>
          <w:tcPr>
            <w:tcW w:type="pct" w:w="14%"/>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Media</w:t>
            </w:r>
          </w:p>
        </w:tc>
        <w:tc>
          <w:tcPr>
            <w:tcW w:type="pct" w:w="22%"/>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Baixa</w:t>
            </w:r>
          </w:p>
        </w:tc>
      </w:tr>
      <w:tr>
        <w:trPr>
          <w:cantSplit/>
        </w:trPr>
        <w:tc>
          <w:tcPr>
            <w:tcW w:type="pct" w:w="18%"/>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LexAnalytics</w:t>
            </w:r>
          </w:p>
        </w:tc>
        <w:tc>
          <w:tcPr>
            <w:tcW w:type="pct" w:w="28%"/>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DataJud, IBGE, BCB</w:t>
            </w:r>
          </w:p>
        </w:tc>
        <w:tc>
          <w:tcPr>
            <w:tcW w:type="pct" w:w="18%"/>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SaaS B2B</w:t>
            </w:r>
          </w:p>
        </w:tc>
        <w:tc>
          <w:tcPr>
            <w:tcW w:type="pct" w:w="14%"/>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Alta</w:t>
            </w:r>
          </w:p>
        </w:tc>
        <w:tc>
          <w:tcPr>
            <w:tcW w:type="pct" w:w="22%"/>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Baixa</w:t>
            </w:r>
          </w:p>
        </w:tc>
      </w:tr>
      <w:tr>
        <w:trPr>
          <w:cantSplit/>
        </w:trPr>
        <w:tc>
          <w:tcPr>
            <w:tcW w:type="pct" w:w="18%"/>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SaudeGeo</w:t>
            </w:r>
          </w:p>
        </w:tc>
        <w:tc>
          <w:tcPr>
            <w:tcW w:type="pct" w:w="28%"/>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DATASUS, IBGE, INMET</w:t>
            </w:r>
          </w:p>
        </w:tc>
        <w:tc>
          <w:tcPr>
            <w:tcW w:type="pct" w:w="18%"/>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Freemium B2G</w:t>
            </w:r>
          </w:p>
        </w:tc>
        <w:tc>
          <w:tcPr>
            <w:tcW w:type="pct" w:w="14%"/>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Alta</w:t>
            </w:r>
          </w:p>
        </w:tc>
        <w:tc>
          <w:tcPr>
            <w:tcW w:type="pct" w:w="22%"/>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Baixa</w:t>
            </w:r>
          </w:p>
        </w:tc>
      </w:tr>
      <w:tr>
        <w:trPr>
          <w:cantSplit/>
        </w:trPr>
        <w:tc>
          <w:tcPr>
            <w:tcW w:type="pct" w:w="18%"/>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TradePulse</w:t>
            </w:r>
          </w:p>
        </w:tc>
        <w:tc>
          <w:tcPr>
            <w:tcW w:type="pct" w:w="28%"/>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Comex, BCB, IBGE</w:t>
            </w:r>
          </w:p>
        </w:tc>
        <w:tc>
          <w:tcPr>
            <w:tcW w:type="pct" w:w="18%"/>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Freemium B2B</w:t>
            </w:r>
          </w:p>
        </w:tc>
        <w:tc>
          <w:tcPr>
            <w:tcW w:type="pct" w:w="14%"/>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Alta</w:t>
            </w:r>
          </w:p>
        </w:tc>
        <w:tc>
          <w:tcPr>
            <w:tcW w:type="pct" w:w="22%"/>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Alta (CC BY-NC-ND)</w:t>
            </w:r>
          </w:p>
        </w:tc>
      </w:tr>
      <w:tr>
        <w:trPr>
          <w:cantSplit/>
        </w:trPr>
        <w:tc>
          <w:tcPr>
            <w:tcW w:type="pct" w:w="18%"/>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AgroRisco</w:t>
            </w:r>
          </w:p>
        </w:tc>
        <w:tc>
          <w:tcPr>
            <w:tcW w:type="pct" w:w="28%"/>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INMET, INPE, IBGE</w:t>
            </w:r>
          </w:p>
        </w:tc>
        <w:tc>
          <w:tcPr>
            <w:tcW w:type="pct" w:w="18%"/>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SaaS B2B</w:t>
            </w:r>
          </w:p>
        </w:tc>
        <w:tc>
          <w:tcPr>
            <w:tcW w:type="pct" w:w="14%"/>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Alta</w:t>
            </w:r>
          </w:p>
        </w:tc>
        <w:tc>
          <w:tcPr>
            <w:tcW w:type="pct" w:w="22%"/>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Media</w:t>
            </w:r>
          </w:p>
        </w:tc>
      </w:tr>
      <w:tr>
        <w:trPr>
          <w:cantSplit/>
        </w:trPr>
        <w:tc>
          <w:tcPr>
            <w:tcW w:type="pct" w:w="18%"/>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GeoExpansao</w:t>
            </w:r>
          </w:p>
        </w:tc>
        <w:tc>
          <w:tcPr>
            <w:tcW w:type="pct" w:w="28%"/>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IBGE, CAGED, BCB</w:t>
            </w:r>
          </w:p>
        </w:tc>
        <w:tc>
          <w:tcPr>
            <w:tcW w:type="pct" w:w="18%"/>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SaaS B2B</w:t>
            </w:r>
          </w:p>
        </w:tc>
        <w:tc>
          <w:tcPr>
            <w:tcW w:type="pct" w:w="14%"/>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Media</w:t>
            </w:r>
          </w:p>
        </w:tc>
        <w:tc>
          <w:tcPr>
            <w:tcW w:type="pct" w:w="22%"/>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Baixa</w:t>
            </w:r>
          </w:p>
        </w:tc>
      </w:tr>
      <w:tr>
        <w:trPr>
          <w:cantSplit/>
        </w:trPr>
        <w:tc>
          <w:tcPr>
            <w:tcW w:type="pct" w:w="18%"/>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LexMapa</w:t>
            </w:r>
          </w:p>
        </w:tc>
        <w:tc>
          <w:tcPr>
            <w:tcW w:type="pct" w:w="28%"/>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DataJud, CAGED, Comex</w:t>
            </w:r>
          </w:p>
        </w:tc>
        <w:tc>
          <w:tcPr>
            <w:tcW w:type="pct" w:w="18%"/>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SaaS B2B</w:t>
            </w:r>
          </w:p>
        </w:tc>
        <w:tc>
          <w:tcPr>
            <w:tcW w:type="pct" w:w="14%"/>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Alta</w:t>
            </w:r>
          </w:p>
        </w:tc>
        <w:tc>
          <w:tcPr>
            <w:tcW w:type="pct" w:w="22%"/>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Media</w:t>
            </w:r>
          </w:p>
        </w:tc>
      </w:tr>
      <w:tr>
        <w:trPr>
          <w:cantSplit/>
        </w:trPr>
        <w:tc>
          <w:tcPr>
            <w:tcW w:type="pct" w:w="18%"/>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RiskJudge</w:t>
            </w:r>
          </w:p>
        </w:tc>
        <w:tc>
          <w:tcPr>
            <w:tcW w:type="pct" w:w="28%"/>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DataJud, CNPJ</w:t>
            </w:r>
          </w:p>
        </w:tc>
        <w:tc>
          <w:tcPr>
            <w:tcW w:type="pct" w:w="18%"/>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Freemium B2B</w:t>
            </w:r>
          </w:p>
        </w:tc>
        <w:tc>
          <w:tcPr>
            <w:tcW w:type="pct" w:w="14%"/>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Media</w:t>
            </w:r>
          </w:p>
        </w:tc>
        <w:tc>
          <w:tcPr>
            <w:tcW w:type="pct" w:w="22%"/>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Baixa</w:t>
            </w:r>
          </w:p>
        </w:tc>
      </w:tr>
      <w:tr>
        <w:trPr>
          <w:cantSplit/>
        </w:trPr>
        <w:tc>
          <w:tcPr>
            <w:tcW w:type="pct" w:w="18%"/>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PharmaMap</w:t>
            </w:r>
          </w:p>
        </w:tc>
        <w:tc>
          <w:tcPr>
            <w:tcW w:type="pct" w:w="28%"/>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DATASUS, IBGE</w:t>
            </w:r>
          </w:p>
        </w:tc>
        <w:tc>
          <w:tcPr>
            <w:tcW w:type="pct" w:w="18%"/>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Marketplace+SaaS</w:t>
            </w:r>
          </w:p>
        </w:tc>
        <w:tc>
          <w:tcPr>
            <w:tcW w:type="pct" w:w="14%"/>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Media</w:t>
            </w:r>
          </w:p>
        </w:tc>
        <w:tc>
          <w:tcPr>
            <w:tcW w:type="pct" w:w="22%"/>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Baixa</w:t>
            </w:r>
          </w:p>
        </w:tc>
      </w:tr>
      <w:tr>
        <w:trPr>
          <w:cantSplit/>
        </w:trPr>
        <w:tc>
          <w:tcPr>
            <w:tcW w:type="pct" w:w="18%"/>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AgroRisk</w:t>
            </w:r>
          </w:p>
        </w:tc>
        <w:tc>
          <w:tcPr>
            <w:tcW w:type="pct" w:w="28%"/>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INPE, Comex</w:t>
            </w:r>
          </w:p>
        </w:tc>
        <w:tc>
          <w:tcPr>
            <w:tcW w:type="pct" w:w="18%"/>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SaaS B2B</w:t>
            </w:r>
          </w:p>
        </w:tc>
        <w:tc>
          <w:tcPr>
            <w:tcW w:type="pct" w:w="14%"/>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Alta</w:t>
            </w:r>
          </w:p>
        </w:tc>
        <w:tc>
          <w:tcPr>
            <w:tcW w:type="pct" w:w="22%"/>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Alta (CC BY-NC-ND)</w:t>
            </w:r>
          </w:p>
        </w:tc>
      </w:tr>
    </w:tbl>
    <w:p>
      <w:pPr>
        <w:spacing w:after="200"/>
      </w:pPr>
    </w:p>
    <w:p>
      <w:pPr>
        <w:pStyle w:val="Heading1"/>
        <w:spacing w:after="240" w:before="480" w:line="312"/>
      </w:pPr>
      <w:bookmarkStart w:id="100042" w:name="_Toc100042"/>
      <w:r>
        <w:rPr>
          <w:rFonts w:ascii="Calibri" w:eastAsia="SimHei"/>
          <w:b/>
          <w:bCs/>
          <w:color w:val="0B1220"/>
          <w:sz w:val="32"/>
          <w:szCs w:val="32"/>
        </w:rPr>
        <w:t xml:space="preserve">Capitulo 5: Combinacoes Estrategicas de Dados (Framework DIKW)</w:t>
      </w:r>
      <w:bookmarkEnd w:id="100042"/>
    </w:p>
    <w:p>
      <w:pPr>
        <w:spacing w:after="120" w:line="312"/>
        <w:ind w:firstLine="480"/>
        <w:jc w:val="both"/>
      </w:pPr>
      <w:r>
        <w:rPr>
          <w:rFonts w:ascii="Calibri" w:eastAsia="SimHei"/>
          <w:color w:val="000000"/>
          <w:sz w:val="24"/>
          <w:szCs w:val="24"/>
        </w:rPr>
        <w:t xml:space="preserve">Este capitulo apresenta o framework estruturado para combinacao de dados publicos, seguindo a piramide DIKW. As combinacoes sao organizadas por prioridade de implementacao, complexidade tecnica e barreiras legais. Cada combinacao explora como a fusao de sinais de diferentes fontes gera inteligencia que nenhuma fonte isolada poderia produzir.</w:t>
      </w:r>
    </w:p>
    <w:p>
      <w:pPr>
        <w:pStyle w:val="Heading2"/>
        <w:spacing w:after="160" w:before="360" w:line="312"/>
      </w:pPr>
      <w:bookmarkStart w:id="100043" w:name="_Toc100043"/>
      <w:r>
        <w:rPr>
          <w:rFonts w:ascii="Calibri" w:eastAsia="SimHei"/>
          <w:b/>
          <w:bCs/>
          <w:color w:val="0B1220"/>
          <w:sz w:val="28"/>
          <w:szCs w:val="28"/>
        </w:rPr>
        <w:t xml:space="preserve">5.1 Receita da Sabedoria: Tipos Funcionais de Fontes</w:t>
      </w:r>
      <w:bookmarkEnd w:id="100043"/>
    </w:p>
    <w:p>
      <w:pPr>
        <w:spacing w:after="120" w:line="312"/>
        <w:ind w:firstLine="480"/>
        <w:jc w:val="both"/>
      </w:pPr>
      <w:r>
        <w:rPr>
          <w:rFonts w:ascii="Calibri" w:eastAsia="SimHei"/>
          <w:color w:val="000000"/>
          <w:sz w:val="24"/>
          <w:szCs w:val="24"/>
        </w:rPr>
        <w:t xml:space="preserve">Sinais precoces sao dados de alta frequencia que antecipam tendencias: CAGED (choques de emprego), INPE (alertas de desmatamento e queimadas), INMET (anomalias climaticas) e DataJud (novas acoes judiciais). O contexto estrutural fornece a linha de base, atualizada com menor frequencia: IBGE/Censo (demografia e economia), INEP (educacao), RAIS (emprego anual) e PAM (producao agricola). As fontes de consequencia e validacao mostram os efeitos: DATASUS (internacoes e mortes), DataJud (resultados de processos), ESTBAN (retracao de credito).</w:t>
      </w:r>
    </w:p>
    <w:p>
      <w:pPr>
        <w:spacing w:after="120" w:line="312"/>
        <w:ind w:firstLine="480"/>
        <w:jc w:val="both"/>
      </w:pPr>
      <w:r>
        <w:rPr>
          <w:rFonts w:ascii="Calibri" w:eastAsia="SimHei"/>
          <w:color w:val="000000"/>
          <w:sz w:val="24"/>
          <w:szCs w:val="24"/>
        </w:rPr>
        <w:t xml:space="preserve">O principio fundamental e que o conhecimento vive no lag temporal entre sinal e consequencia, e a sabedoria consiste em agir dentro desse lag. Por exemplo, um choque de emprego no CAGED (T0) tende a gerar retracao de credito em 2 meses (T+2) e aumento de demanda por saude em 4-6 meses (T+4-6). Modelos que capturam esse lag permitem acao antecipada.</w:t>
      </w:r>
    </w:p>
    <w:p>
      <w:pPr>
        <w:pStyle w:val="Heading2"/>
        <w:spacing w:after="160" w:before="360" w:line="312"/>
      </w:pPr>
      <w:bookmarkStart w:id="100044" w:name="_Toc100044"/>
      <w:r>
        <w:rPr>
          <w:rFonts w:ascii="Calibri" w:eastAsia="SimHei"/>
          <w:b/>
          <w:bCs/>
          <w:color w:val="0B1220"/>
          <w:sz w:val="28"/>
          <w:szCs w:val="28"/>
        </w:rPr>
        <w:t xml:space="preserve">5.2 Combinacao A: Termometro Social Antecipado</w:t>
      </w:r>
      <w:bookmarkEnd w:id="100044"/>
    </w:p>
    <w:p>
      <w:pPr>
        <w:spacing w:after="120" w:line="312"/>
        <w:ind w:firstLine="480"/>
        <w:jc w:val="both"/>
      </w:pPr>
      <w:r>
        <w:rPr>
          <w:rFonts w:ascii="Calibri" w:eastAsia="SimHei"/>
          <w:color w:val="000000"/>
          <w:sz w:val="24"/>
          <w:szCs w:val="24"/>
        </w:rPr>
        <w:t xml:space="preserve">Esta combinacao cruza tres fontes com diferentes tempos de latencia: CAGED (choque de emprego em T0) para BCB ESTBAN (retracao de credito em T+2 meses) para DATASUS consequencias em saude (T+4-6 meses). O resultado e um modelo preditivo que identifica quais municipios terao aumento de demanda por saude e servicos sociais 3 a 6 meses antes que isso se manifeste nos dados de saude.</w:t>
      </w:r>
    </w:p>
    <w:p>
      <w:pPr>
        <w:spacing w:after="120" w:line="312"/>
        <w:ind w:firstLine="480"/>
        <w:jc w:val="both"/>
      </w:pPr>
      <w:r>
        <w:rPr>
          <w:rFonts w:ascii="Calibri" w:eastAsia="SimHei"/>
          <w:color w:val="000000"/>
          <w:sz w:val="24"/>
          <w:szCs w:val="24"/>
        </w:rPr>
        <w:t xml:space="preserve">Esta e a combinacao de prioridade numero 1, com as menores barreiras legais e complexidade tecnica moderada. O MVP pode ser construido em 3-4 meses, utilizando dados ja disponiveis e bem documentados. O mercado potencial inclui secretarias de saude, operadoras de planos, seguradoras e organizacoes sociais.</w:t>
      </w:r>
    </w:p>
    <w:p>
      <w:pPr>
        <w:pStyle w:val="Heading2"/>
        <w:spacing w:after="160" w:before="360" w:line="312"/>
      </w:pPr>
      <w:bookmarkStart w:id="100045" w:name="_Toc100045"/>
      <w:r>
        <w:rPr>
          <w:rFonts w:ascii="Calibri" w:eastAsia="SimHei"/>
          <w:b/>
          <w:bCs/>
          <w:color w:val="0B1220"/>
          <w:sz w:val="28"/>
          <w:szCs w:val="28"/>
        </w:rPr>
        <w:t xml:space="preserve">5.3 Combinacao B: Cadeia Ambiente-Saude-Economia</w:t>
      </w:r>
      <w:bookmarkEnd w:id="100045"/>
    </w:p>
    <w:p>
      <w:pPr>
        <w:spacing w:after="120" w:line="312"/>
        <w:ind w:firstLine="480"/>
        <w:jc w:val="both"/>
      </w:pPr>
      <w:r>
        <w:rPr>
          <w:rFonts w:ascii="Calibri" w:eastAsia="SimHei"/>
          <w:color w:val="000000"/>
          <w:sz w:val="24"/>
          <w:szCs w:val="24"/>
        </w:rPr>
        <w:t xml:space="preserve">Esta combinacao integra INPE (queimadas) com INMET (amplificador climatico) com DATASUS (doencas respiratorias e arboviroses) com Comex Stat/IBGE PAM (vetor economico). O resultado e a capacidade de calcular o custo em reais por hectare queimado em termos de impacto na saude publica e produtividade economica.</w:t>
      </w:r>
    </w:p>
    <w:p>
      <w:pPr>
        <w:spacing w:after="120" w:line="312"/>
        <w:ind w:firstLine="480"/>
        <w:jc w:val="both"/>
      </w:pPr>
      <w:r>
        <w:rPr>
          <w:rFonts w:ascii="Calibri" w:eastAsia="SimHei"/>
          <w:color w:val="000000"/>
          <w:sz w:val="24"/>
          <w:szCs w:val="24"/>
        </w:rPr>
        <w:t xml:space="preserve">Atencao: o Comex Stat tem licenca CC BY-NC-ND 4.0, que proibe uso comercial sem autorizacao do MDIC. Como alternativa, e possivel utilizar dados do IBGE PAM (Producao Agricola Municipal) em vez do Comex Stat para a componente economica. Esta alternativa elimina a barreira legal e mantem a capacidade analitica.</w:t>
      </w:r>
    </w:p>
    <w:p>
      <w:pPr>
        <w:pStyle w:val="Heading2"/>
        <w:spacing w:after="160" w:before="360" w:line="312"/>
      </w:pPr>
      <w:bookmarkStart w:id="100046" w:name="_Toc100046"/>
      <w:r>
        <w:rPr>
          <w:rFonts w:ascii="Calibri" w:eastAsia="SimHei"/>
          <w:b/>
          <w:bCs/>
          <w:color w:val="0B1220"/>
          <w:sz w:val="28"/>
          <w:szCs w:val="28"/>
        </w:rPr>
        <w:t xml:space="preserve">5.4 Combinacao C: Mapa da Fuga de Cerebros</w:t>
      </w:r>
      <w:bookmarkEnd w:id="100046"/>
    </w:p>
    <w:p>
      <w:pPr>
        <w:spacing w:after="120" w:line="312"/>
        <w:ind w:firstLine="480"/>
        <w:jc w:val="both"/>
      </w:pPr>
      <w:r>
        <w:rPr>
          <w:rFonts w:ascii="Calibri" w:eastAsia="SimHei"/>
          <w:color w:val="000000"/>
          <w:sz w:val="24"/>
          <w:szCs w:val="24"/>
        </w:rPr>
        <w:t xml:space="preserve">Cruza INEP (oferta de talentos) com RAIS/CAGED (demanda local) com IBGE (migracao) com Comex Stat (vocacao economica) para gerar um Indice Anual de Descompasso de Talentos. O resultado mostra quais municipios sofrem fuga de cerebros (brain drain) e quais atraem talentos (brain gain), orientando politicas de retencao e atrainvestimento.</w:t>
      </w:r>
    </w:p>
    <w:p>
      <w:pPr>
        <w:spacing w:after="120" w:line="312"/>
        <w:ind w:firstLine="480"/>
        <w:jc w:val="both"/>
      </w:pPr>
      <w:r>
        <w:rPr>
          <w:rFonts w:ascii="Calibri" w:eastAsia="SimHei"/>
          <w:color w:val="000000"/>
          <w:sz w:val="24"/>
          <w:szCs w:val="24"/>
        </w:rPr>
        <w:t xml:space="preserve">Prioridade 2, com complexidade tecnica moderada e barreiras legais baixas (exceto pelo uso de Comex Stat). O mercado inclui governos estaduais e municipais, universidades e empresas de recrutamento.</w:t>
      </w:r>
    </w:p>
    <w:p>
      <w:pPr>
        <w:pStyle w:val="Heading2"/>
        <w:spacing w:after="160" w:before="360" w:line="312"/>
      </w:pPr>
      <w:bookmarkStart w:id="100047" w:name="_Toc100047"/>
      <w:r>
        <w:rPr>
          <w:rFonts w:ascii="Calibri" w:eastAsia="SimHei"/>
          <w:b/>
          <w:bCs/>
          <w:color w:val="0B1220"/>
          <w:sz w:val="28"/>
          <w:szCs w:val="28"/>
        </w:rPr>
        <w:t xml:space="preserve">5.5 Combinacao D: Risco de Credito Territorial</w:t>
      </w:r>
      <w:bookmarkEnd w:id="100047"/>
    </w:p>
    <w:p>
      <w:pPr>
        <w:spacing w:after="120" w:line="312"/>
        <w:ind w:firstLine="480"/>
        <w:jc w:val="both"/>
      </w:pPr>
      <w:r>
        <w:rPr>
          <w:rFonts w:ascii="Calibri" w:eastAsia="SimHei"/>
          <w:color w:val="000000"/>
          <w:sz w:val="24"/>
          <w:szCs w:val="24"/>
        </w:rPr>
        <w:t xml:space="preserve">Combina BCB ESTBAN+SGS (exposicao financeira) com CAGED (concentracao de emprego via HHI - Indice Herfindahl-Hirschman) com Comex Stat (concentracao de exportacao) com INMET (gatilho climatico). O resultado e um score beta de credito territorial (0-100) que avalia a vulnerabilidade de uma regiao a choques economicos e climaticos.</w:t>
      </w:r>
    </w:p>
    <w:p>
      <w:pPr>
        <w:spacing w:after="120" w:line="312"/>
        <w:ind w:firstLine="480"/>
        <w:jc w:val="both"/>
      </w:pPr>
      <w:r>
        <w:rPr>
          <w:rFonts w:ascii="Calibri" w:eastAsia="SimHei"/>
          <w:color w:val="000000"/>
          <w:sz w:val="24"/>
          <w:szCs w:val="24"/>
        </w:rPr>
        <w:t xml:space="preserve">Esta combinacao preenche uma lacuna significativa: Serasa e Equifax operam apenas no nivel individual, sem oferecer visibilidade sobre risco territorial sistematico. Prioridade 4, por depender de multiplas fontes com sincronizacao complexa.</w:t>
      </w:r>
    </w:p>
    <w:p>
      <w:pPr>
        <w:pStyle w:val="Heading2"/>
        <w:spacing w:after="160" w:before="360" w:line="312"/>
      </w:pPr>
      <w:bookmarkStart w:id="100048" w:name="_Toc100048"/>
      <w:r>
        <w:rPr>
          <w:rFonts w:ascii="Calibri" w:eastAsia="SimHei"/>
          <w:b/>
          <w:bCs/>
          <w:color w:val="0B1220"/>
          <w:sz w:val="28"/>
          <w:szCs w:val="28"/>
        </w:rPr>
        <w:t xml:space="preserve">5.6 Combinacao E: Geografia da Judicializacao da Saude</w:t>
      </w:r>
      <w:bookmarkEnd w:id="100048"/>
    </w:p>
    <w:p>
      <w:pPr>
        <w:spacing w:after="120" w:line="312"/>
        <w:ind w:firstLine="480"/>
        <w:jc w:val="both"/>
      </w:pPr>
      <w:r>
        <w:rPr>
          <w:rFonts w:ascii="Calibri" w:eastAsia="SimHei"/>
          <w:color w:val="000000"/>
          <w:sz w:val="24"/>
          <w:szCs w:val="24"/>
        </w:rPr>
        <w:t xml:space="preserve">Cruza DataJud (processos de saude) com DATASUS CNES+SIH (gap de oferta) com IBGE (demografia de envelhecimento) para prever ondas de judicializacao da saude 6 a 12 meses a frente. O modelo identifica regioes onde o envelhecimento populacional combinado com insuficiencia de servicos gerara pressao juridica sobre o sistema de saude.</w:t>
      </w:r>
    </w:p>
    <w:p>
      <w:pPr>
        <w:spacing w:after="120" w:line="312"/>
        <w:ind w:firstLine="480"/>
        <w:jc w:val="both"/>
      </w:pPr>
      <w:r>
        <w:rPr>
          <w:rFonts w:ascii="Calibri" w:eastAsia="SimHei"/>
          <w:color w:val="000000"/>
          <w:sz w:val="24"/>
          <w:szCs w:val="24"/>
        </w:rPr>
        <w:t xml:space="preserve">Prioridade 5, com complexidade tecnica alta devido a necessidade de processamento de grandes volumes de dados do DataJud. O mercado inclui planos de saude, secretarias de saude e escritorios especializados em direito da saude.</w:t>
      </w:r>
    </w:p>
    <w:p>
      <w:pPr>
        <w:pStyle w:val="Heading2"/>
        <w:spacing w:after="160" w:before="360" w:line="312"/>
      </w:pPr>
      <w:bookmarkStart w:id="100049" w:name="_Toc100049"/>
      <w:r>
        <w:rPr>
          <w:rFonts w:ascii="Calibri" w:eastAsia="SimHei"/>
          <w:b/>
          <w:bCs/>
          <w:color w:val="0B1220"/>
          <w:sz w:val="28"/>
          <w:szCs w:val="28"/>
        </w:rPr>
        <w:t xml:space="preserve">5.7 Combinacao F: Indice de Vulnerabilidade Municipal (IVM)</w:t>
      </w:r>
      <w:bookmarkEnd w:id="100049"/>
    </w:p>
    <w:p>
      <w:pPr>
        <w:spacing w:after="120" w:line="312"/>
        <w:ind w:firstLine="480"/>
        <w:jc w:val="both"/>
      </w:pPr>
      <w:r>
        <w:rPr>
          <w:rFonts w:ascii="Calibri" w:eastAsia="SimHei"/>
          <w:color w:val="000000"/>
          <w:sz w:val="24"/>
          <w:szCs w:val="24"/>
        </w:rPr>
        <w:t xml:space="preserve">O IVM e um indice sintetico que combina seis subindices: risco de emprego (20%), estresse financeiro (15%), pressao de saude (20%), risco ambiental (15%), descompasso educacional (15%) e litigacao (15%). Cada municipio recebe uma classificacao verde, amarelo, laranja ou vermelho, com atualizacao mensal.</w:t>
      </w:r>
    </w:p>
    <w:p>
      <w:pPr>
        <w:spacing w:after="120" w:line="312"/>
        <w:ind w:firstLine="480"/>
        <w:jc w:val="both"/>
      </w:pPr>
      <w:r>
        <w:rPr>
          <w:rFonts w:ascii="Calibri" w:eastAsia="SimHei"/>
          <w:color w:val="000000"/>
          <w:sz w:val="24"/>
          <w:szCs w:val="24"/>
        </w:rPr>
        <w:t xml:space="preserve">O modelo de negocio e SaaS premium para governo federal, fundos de impacto e multilaterais, com tickets de R$200-500 mil por ano. Prioridade 6, representando a visao de longo prazo: a plataforma que sintetiza todas as combinacoes anteriores em um indice unico e acionavel. O investimento inicial e significativo, mas o custo marginal de adicionar novas dimensoes diminui com o tempo.</w:t>
      </w:r>
    </w:p>
    <w:p>
      <w:pPr>
        <w:pStyle w:val="Heading2"/>
        <w:spacing w:after="160" w:before="360" w:line="312"/>
      </w:pPr>
      <w:bookmarkStart w:id="100050" w:name="_Toc100050"/>
      <w:r>
        <w:rPr>
          <w:rFonts w:ascii="Calibri" w:eastAsia="SimHei"/>
          <w:b/>
          <w:bCs/>
          <w:color w:val="0B1220"/>
          <w:sz w:val="28"/>
          <w:szCs w:val="28"/>
        </w:rPr>
        <w:t xml:space="preserve">5.8 Outras Combinacoes Relevantes</w:t>
      </w:r>
      <w:bookmarkEnd w:id="100050"/>
    </w:p>
    <w:p>
      <w:pPr>
        <w:spacing w:after="120" w:line="312"/>
        <w:ind w:firstLine="480"/>
        <w:jc w:val="both"/>
      </w:pPr>
      <w:r>
        <w:rPr>
          <w:rFonts w:ascii="Calibri" w:eastAsia="SimHei"/>
          <w:color w:val="000000"/>
          <w:sz w:val="24"/>
          <w:szCs w:val="24"/>
        </w:rPr>
        <w:t xml:space="preserve">Combinacao de Educacao com Renda e Mobilidade Urbana (IBGE, INEP, OSM) permite identificar regioes com alto capital humano mas baixa mobilidade, sinalizando necessidades de infraestrutura de transporte. Emprego com Educacao e Vulnerabilidade Social (CAGED, INEP, IBGE) gera indicadores de descompasso entre formacao e demanda. Judiciario com Mercado de Trabalho e Socioeconomia (DataJud, CAGED, IBGE) oferece visao holistica do risco juridico regional. Saude com Clima e Territorio (DATASUS, INMET, IBGE) potencializa modelos de previsao epidemiologica. Consumo Potencial com Emprego, Educacao e Geografia (IBGE, INEP, OSM, CAGED) dimensiona mercados para expansao comercial.</w:t>
      </w:r>
    </w:p>
    <w:p>
      <w:pPr>
        <w:spacing w:after="200"/>
      </w:pPr>
    </w:p>
    <w:p>
      <w:pPr>
        <w:pStyle w:val="Heading1"/>
        <w:spacing w:after="240" w:before="480" w:line="312"/>
      </w:pPr>
      <w:bookmarkStart w:id="100051" w:name="_Toc100051"/>
      <w:r>
        <w:rPr>
          <w:rFonts w:ascii="Calibri" w:eastAsia="SimHei"/>
          <w:b/>
          <w:bCs/>
          <w:color w:val="0B1220"/>
          <w:sz w:val="32"/>
          <w:szCs w:val="32"/>
        </w:rPr>
        <w:t xml:space="preserve">Capitulo 6: Combinacoes Internacionais</w:t>
      </w:r>
      <w:bookmarkEnd w:id="100051"/>
    </w:p>
    <w:p>
      <w:pPr>
        <w:spacing w:after="120" w:line="312"/>
        <w:ind w:firstLine="480"/>
        <w:jc w:val="both"/>
      </w:pPr>
      <w:r>
        <w:rPr>
          <w:rFonts w:ascii="Calibri" w:eastAsia="SimHei"/>
          <w:color w:val="000000"/>
          <w:sz w:val="24"/>
          <w:szCs w:val="24"/>
        </w:rPr>
        <w:t xml:space="preserve">A integracao de dados internacionais com fontes brasileiras abre possibilidades analiticas avancadas, permitindo comparacoes globais, deteccao de sinais exogenos e posicionamento estrategico do Brasil no contexto mundial. Este capitulo apresenta combinacoes que utilizam APIs internacionais para gerar inteligencia aplicavel ao mercado brasileiro.</w:t>
      </w:r>
    </w:p>
    <w:p>
      <w:pPr>
        <w:pStyle w:val="Heading2"/>
        <w:spacing w:after="160" w:before="360" w:line="312"/>
      </w:pPr>
      <w:bookmarkStart w:id="100052" w:name="_Toc100052"/>
      <w:r>
        <w:rPr>
          <w:rFonts w:ascii="Calibri" w:eastAsia="SimHei"/>
          <w:b/>
          <w:bCs/>
          <w:color w:val="0B1220"/>
          <w:sz w:val="28"/>
          <w:szCs w:val="28"/>
        </w:rPr>
        <w:t xml:space="preserve">6.1 Biometro de Risco de Investimento</w:t>
      </w:r>
      <w:bookmarkEnd w:id="100052"/>
    </w:p>
    <w:p>
      <w:pPr>
        <w:spacing w:after="120" w:line="312"/>
        <w:ind w:firstLine="480"/>
        <w:jc w:val="both"/>
      </w:pPr>
      <w:r>
        <w:rPr>
          <w:rFonts w:ascii="Calibri" w:eastAsia="SimHei"/>
          <w:color w:val="000000"/>
          <w:sz w:val="24"/>
          <w:szCs w:val="24"/>
        </w:rPr>
        <w:t xml:space="preserve">Combina dados de luzes noturnas da NASA (proxy de atividade economica) com dados de poluicao NO2 do OpenAQ e PIB do Banco Mundial para detectar contracoes economicas ocultas das estatisticas oficiais. Quando a atividade economica real (luzes noturnas) diverge do PIB reportado, isso sinaliza revisoes estatisticas iminentes ou manipulacao de dados.</w:t>
      </w:r>
    </w:p>
    <w:p>
      <w:pPr>
        <w:spacing w:after="120" w:line="312"/>
        <w:ind w:firstLine="480"/>
        <w:jc w:val="both"/>
      </w:pPr>
      <w:r>
        <w:rPr>
          <w:rFonts w:ascii="Calibri" w:eastAsia="SimHei"/>
          <w:color w:val="000000"/>
          <w:sz w:val="24"/>
          <w:szCs w:val="24"/>
        </w:rPr>
        <w:t xml:space="preserve">Aplicacao: permite a investidores vender ativos ou ajustar premios de seguro meses antes que os relatorios oficiais confirmem a contracao. A combinacao e particularmente valiosa para mercados emergentes onde a confiabilidade dos dados governamentais e questionavel.</w:t>
      </w:r>
    </w:p>
    <w:p>
      <w:pPr>
        <w:pStyle w:val="Heading2"/>
        <w:spacing w:after="160" w:before="360" w:line="312"/>
      </w:pPr>
      <w:bookmarkStart w:id="100053" w:name="_Toc100053"/>
      <w:r>
        <w:rPr>
          <w:rFonts w:ascii="Calibri" w:eastAsia="SimHei"/>
          <w:b/>
          <w:bCs/>
          <w:color w:val="0B1220"/>
          <w:sz w:val="28"/>
          <w:szCs w:val="28"/>
        </w:rPr>
        <w:t xml:space="preserve">6.2 Oracle da Cadeia de Suprimentos Global</w:t>
      </w:r>
      <w:bookmarkEnd w:id="100053"/>
    </w:p>
    <w:p>
      <w:pPr>
        <w:spacing w:after="120" w:line="312"/>
        <w:ind w:firstLine="480"/>
        <w:jc w:val="both"/>
      </w:pPr>
      <w:r>
        <w:rPr>
          <w:rFonts w:ascii="Calibri" w:eastAsia="SimHei"/>
          <w:color w:val="000000"/>
          <w:sz w:val="24"/>
          <w:szCs w:val="24"/>
        </w:rPr>
        <w:t xml:space="preserve">Combina posicoes de navios (MarineTraffic), clima maritimo (OpenWeatherMap) e volumes de comercio (UN Comtrade) para prever precos de commodities a partir de desequilibrios fisicos iminentes de oferta. Quando navios carregadores atrasam devido a clima e estoques estao baixos, o preco tende a subir antes que o mercado perceba.</w:t>
      </w:r>
    </w:p>
    <w:p>
      <w:pPr>
        <w:spacing w:after="120" w:line="312"/>
        <w:ind w:firstLine="480"/>
        <w:jc w:val="both"/>
      </w:pPr>
      <w:r>
        <w:rPr>
          <w:rFonts w:ascii="Calibri" w:eastAsia="SimHei"/>
          <w:color w:val="000000"/>
          <w:sz w:val="24"/>
          <w:szCs w:val="24"/>
        </w:rPr>
        <w:t xml:space="preserve">Aplicacao: compra de futuros antes que o mercado perceba o aperto de oferta. A combinacao de dados fisicos com dados de comercio oferece vantagem informacional sobre participantes que utilizam apenas dados financeiros tradicionais.</w:t>
      </w:r>
    </w:p>
    <w:p>
      <w:pPr>
        <w:pStyle w:val="Heading2"/>
        <w:spacing w:after="160" w:before="360" w:line="312"/>
      </w:pPr>
      <w:bookmarkStart w:id="100054" w:name="_Toc100054"/>
      <w:r>
        <w:rPr>
          <w:rFonts w:ascii="Calibri" w:eastAsia="SimHei"/>
          <w:b/>
          <w:bCs/>
          <w:color w:val="0B1220"/>
          <w:sz w:val="28"/>
          <w:szCs w:val="28"/>
        </w:rPr>
        <w:t xml:space="preserve">6.3 Detector de Proximos Tigres Asiaticos</w:t>
      </w:r>
      <w:bookmarkEnd w:id="100054"/>
    </w:p>
    <w:p>
      <w:pPr>
        <w:spacing w:after="120" w:line="312"/>
        <w:ind w:firstLine="480"/>
        <w:jc w:val="both"/>
      </w:pPr>
      <w:r>
        <w:rPr>
          <w:rFonts w:ascii="Calibri" w:eastAsia="SimHei"/>
          <w:color w:val="000000"/>
          <w:sz w:val="24"/>
          <w:szCs w:val="24"/>
        </w:rPr>
        <w:t xml:space="preserve">Combina atividade de programacao (GitHub Events), lancamentos de satelites (Space-Track/N2YO), patentes (USPTO) e infraestrutura (OSM) para identificar paises que estao construindo economias do conhecimento antes que o PIB reflita essa mudanca.</w:t>
      </w:r>
    </w:p>
    <w:p>
      <w:pPr>
        <w:spacing w:after="120" w:line="312"/>
        <w:ind w:firstLine="480"/>
        <w:jc w:val="both"/>
      </w:pPr>
      <w:r>
        <w:rPr>
          <w:rFonts w:ascii="Calibri" w:eastAsia="SimHei"/>
          <w:color w:val="000000"/>
          <w:sz w:val="24"/>
          <w:szCs w:val="24"/>
        </w:rPr>
        <w:t xml:space="preserve">Aplicacao: aportes antecipados de venture capital e posicao estrategica de multinacionais. O sinal de desenvolvimento tecnologico precede o crescimento do PIB em 3-5 anos, oferecendo janela de oportunidade para investidores visionarios.</w:t>
      </w:r>
    </w:p>
    <w:p>
      <w:pPr>
        <w:pStyle w:val="Heading2"/>
        <w:spacing w:after="160" w:before="360" w:line="312"/>
      </w:pPr>
      <w:bookmarkStart w:id="100055" w:name="_Toc100055"/>
      <w:r>
        <w:rPr>
          <w:rFonts w:ascii="Calibri" w:eastAsia="SimHei"/>
          <w:b/>
          <w:bCs/>
          <w:color w:val="0B1220"/>
          <w:sz w:val="28"/>
          <w:szCs w:val="28"/>
        </w:rPr>
        <w:t xml:space="preserve">6.4 Efeito Borboleta do Agronegocio</w:t>
      </w:r>
      <w:bookmarkEnd w:id="100055"/>
    </w:p>
    <w:p>
      <w:pPr>
        <w:spacing w:after="120" w:line="312"/>
        <w:ind w:firstLine="480"/>
        <w:jc w:val="both"/>
      </w:pPr>
      <w:r>
        <w:rPr>
          <w:rFonts w:ascii="Calibri" w:eastAsia="SimHei"/>
          <w:color w:val="000000"/>
          <w:sz w:val="24"/>
          <w:szCs w:val="24"/>
        </w:rPr>
        <w:t xml:space="preserve">Combina anomalias climaticas (Open-Meteo) com exportacoes de commodities (Comex Stat) e inflacao alimentar (BCB SGS) para prever escassez domestica de alimentos a partir da interacao entre clima e dinâmica de exportacao. Secas associadas a volumes recordes de exportacao geram pressao inflacionaria domestica.</w:t>
      </w:r>
    </w:p>
    <w:p>
      <w:pPr>
        <w:spacing w:after="120" w:line="312"/>
        <w:ind w:firstLine="480"/>
        <w:jc w:val="both"/>
      </w:pPr>
      <w:r>
        <w:rPr>
          <w:rFonts w:ascii="Calibri" w:eastAsia="SimHei"/>
          <w:color w:val="000000"/>
          <w:sz w:val="24"/>
          <w:szCs w:val="24"/>
        </w:rPr>
        <w:t xml:space="preserve">Aplicacao: hedge agricola, ajuste de precos e politica de estoques. A combinacao de sinais climaticos com dinâmica comercial oferece visibilidade antecipada sobre pressoes de oferta que afetam diretamente o consumidor brasileiro.</w:t>
      </w:r>
    </w:p>
    <w:p>
      <w:pPr>
        <w:pStyle w:val="Heading2"/>
        <w:spacing w:after="160" w:before="360" w:line="312"/>
      </w:pPr>
      <w:bookmarkStart w:id="100056" w:name="_Toc100056"/>
      <w:r>
        <w:rPr>
          <w:rFonts w:ascii="Calibri" w:eastAsia="SimHei"/>
          <w:b/>
          <w:bCs/>
          <w:color w:val="0B1220"/>
          <w:sz w:val="28"/>
          <w:szCs w:val="28"/>
        </w:rPr>
        <w:t xml:space="preserve">6.5 Radar de Gentrificacao</w:t>
      </w:r>
      <w:bookmarkEnd w:id="100056"/>
    </w:p>
    <w:p>
      <w:pPr>
        <w:spacing w:after="120" w:line="312"/>
        <w:ind w:firstLine="480"/>
        <w:jc w:val="both"/>
      </w:pPr>
      <w:r>
        <w:rPr>
          <w:rFonts w:ascii="Calibri" w:eastAsia="SimHei"/>
          <w:color w:val="000000"/>
          <w:sz w:val="24"/>
          <w:szCs w:val="24"/>
        </w:rPr>
        <w:t xml:space="preserve">Combina contratacoes em setores de alta renda (CAGED) com negocios de estilo de vida (OSM) e dados de transporte e precos imobiliarios (FipeZAP) para identificar bairros prestes a se valorizar a partir de sinais assimetricos que precedem a valorizacao visivel.</w:t>
      </w:r>
    </w:p>
    <w:p>
      <w:pPr>
        <w:spacing w:after="120" w:line="312"/>
        <w:ind w:firstLine="480"/>
        <w:jc w:val="both"/>
      </w:pPr>
      <w:r>
        <w:rPr>
          <w:rFonts w:ascii="Calibri" w:eastAsia="SimHei"/>
          <w:color w:val="000000"/>
          <w:sz w:val="24"/>
          <w:szCs w:val="24"/>
        </w:rPr>
        <w:t xml:space="preserve">Aplicacao: investimento imobiliario antecipado, politica urbana preventiva e planejamento de infraestrutura. A combinacao de sinais sociais, comerciais e de mobilidade oferece visibilidade que dados de preco so revelam quando ja e tarde.</w:t>
      </w:r>
    </w:p>
    <w:p>
      <w:pPr>
        <w:pStyle w:val="Heading2"/>
        <w:spacing w:after="160" w:before="360" w:line="312"/>
      </w:pPr>
      <w:bookmarkStart w:id="100057" w:name="_Toc100057"/>
      <w:r>
        <w:rPr>
          <w:rFonts w:ascii="Calibri" w:eastAsia="SimHei"/>
          <w:b/>
          <w:bCs/>
          <w:color w:val="0B1220"/>
          <w:sz w:val="28"/>
          <w:szCs w:val="28"/>
        </w:rPr>
        <w:t xml:space="preserve">6.6 Mapeamento de Bolsoes de Talento Ocioso</w:t>
      </w:r>
      <w:bookmarkEnd w:id="100057"/>
    </w:p>
    <w:p>
      <w:pPr>
        <w:spacing w:after="120" w:line="312"/>
        <w:ind w:firstLine="480"/>
        <w:jc w:val="both"/>
      </w:pPr>
      <w:r>
        <w:rPr>
          <w:rFonts w:ascii="Calibri" w:eastAsia="SimHei"/>
          <w:color w:val="000000"/>
          <w:sz w:val="24"/>
          <w:szCs w:val="24"/>
        </w:rPr>
        <w:t xml:space="preserve">Combina formacao em STEM (INEP) com contratacoes locais (RAIS/CAGED), migracao (IBGE) e comercio exterior (Comex Stat) para descobrir minas de ouro de capital humano subutilizado: regioes que formam profissionais qualificados mas nao conseguem absorve-los.</w:t>
      </w:r>
    </w:p>
    <w:p>
      <w:pPr>
        <w:spacing w:after="120" w:line="312"/>
        <w:ind w:firstLine="480"/>
        <w:jc w:val="both"/>
      </w:pPr>
      <w:r>
        <w:rPr>
          <w:rFonts w:ascii="Calibri" w:eastAsia="SimHei"/>
          <w:color w:val="000000"/>
          <w:sz w:val="24"/>
          <w:szCs w:val="24"/>
        </w:rPr>
        <w:t xml:space="preserve">Aplicacao: direcionamento de investimentos, instalacao de filiais de tecnologia e politicas de incentivo. Empresas de tecnologia e governo podem usar essa inteligencia para direcionar investimentos e criar polos de inovacao em regioes com potencial subutilizado.</w:t>
      </w:r>
    </w:p>
    <w:p>
      <w:pPr>
        <w:spacing w:after="200"/>
      </w:pPr>
    </w:p>
    <w:p>
      <w:pPr>
        <w:pStyle w:val="Heading1"/>
        <w:spacing w:after="240" w:before="480" w:line="312"/>
      </w:pPr>
      <w:bookmarkStart w:id="100058" w:name="_Toc100058"/>
      <w:r>
        <w:rPr>
          <w:rFonts w:ascii="Calibri" w:eastAsia="SimHei"/>
          <w:b/>
          <w:bCs/>
          <w:color w:val="0B1220"/>
          <w:sz w:val="32"/>
          <w:szCs w:val="32"/>
        </w:rPr>
        <w:t xml:space="preserve">Capitulo 7: Pipeline Tecnico e Stack</w:t>
      </w:r>
      <w:bookmarkEnd w:id="100058"/>
    </w:p>
    <w:p>
      <w:pPr>
        <w:spacing w:after="120" w:line="312"/>
        <w:ind w:firstLine="480"/>
        <w:jc w:val="both"/>
      </w:pPr>
      <w:r>
        <w:rPr>
          <w:rFonts w:ascii="Calibri" w:eastAsia="SimHei"/>
          <w:color w:val="000000"/>
          <w:sz w:val="24"/>
          <w:szCs w:val="24"/>
        </w:rPr>
        <w:t xml:space="preserve">Este capitulo descreve a arquitetura tecnica recomendada para implementacao das combinacoes de dados, incluindo alinhamento de periodicidades, stack de tecnologias e melhores praticas de engenharia de dados. A complexidade tecnica varia significativamente entre combinacoes, mas o arcabouco basico e comum a todas.</w:t>
      </w:r>
    </w:p>
    <w:p>
      <w:pPr>
        <w:pStyle w:val="Heading2"/>
        <w:spacing w:after="160" w:before="360" w:line="312"/>
      </w:pPr>
      <w:bookmarkStart w:id="100059" w:name="_Toc100059"/>
      <w:r>
        <w:rPr>
          <w:rFonts w:ascii="Calibri" w:eastAsia="SimHei"/>
          <w:b/>
          <w:bCs/>
          <w:color w:val="0B1220"/>
          <w:sz w:val="28"/>
          <w:szCs w:val="28"/>
        </w:rPr>
        <w:t xml:space="preserve">7.1 Alinhamento de Periodicidades</w:t>
      </w:r>
      <w:bookmarkEnd w:id="100059"/>
    </w:p>
    <w:p>
      <w:pPr>
        <w:spacing w:after="120" w:line="312"/>
        <w:ind w:firstLine="480"/>
        <w:jc w:val="both"/>
      </w:pPr>
      <w:r>
        <w:rPr>
          <w:rFonts w:ascii="Calibri" w:eastAsia="SimHei"/>
          <w:color w:val="000000"/>
          <w:sz w:val="24"/>
          <w:szCs w:val="24"/>
        </w:rPr>
        <w:t xml:space="preserve">Um dos maiores desafios tecnicos e o alinhamento de periodicidades entre fontes com frequencias de atualizacao diferentes. O INPE gera dados horarios que devem ser agregados em janelas de 7 ou 30 dias. O INMET gera dados diarios que devem ser convertidos em medias mensais. O DataJud e continuo e deve ser contabilizado mensalmente. O CAGED e mensal. O ESTBAN e mensal com lag de 2-3 meses. O DATASUS varia entre mensal e anual. INEP e RAIS sao anuais. Comex e mensal. IBGE varia entre decenal (Censo) e anual.</w:t>
      </w:r>
    </w:p>
    <w:p>
      <w:pPr>
        <w:keepNext/>
        <w:spacing w:after="200" w:before="200"/>
      </w:pPr>
      <w:r>
        <w:rPr>
          <w:rFonts w:ascii="Calibri" w:eastAsia="SimHei"/>
          <w:b/>
          <w:bCs/>
          <w:color w:val="000000"/>
          <w:sz w:val="22"/>
          <w:szCs w:val="22"/>
        </w:rPr>
        <w:t xml:space="preserve">Tabela 4: Alinhamento de Periodicidades das Fontes de Dados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20%"/>
            <w:tcBorders>
              <w:top w:val="single" w:color="529286" w:sz="2"/>
              <w:left w:val="none"/>
              <w:bottom w:val="single" w:color="529286" w:sz="2"/>
              <w:right w:val="none"/>
            </w:tcBorders>
            <w:shd w:fill="529286" w:val="clear"/>
            <w:tcMar>
              <w:top w:type="dxa" w:w="60"/>
              <w:left w:type="dxa" w:w="120"/>
              <w:bottom w:type="dxa" w:w="60"/>
              <w:right w:type="dxa" w:w="120"/>
            </w:tcMar>
            <w:vAlign w:val="center"/>
          </w:tcPr>
          <w:p>
            <w:pPr>
              <w:spacing w:line="276"/>
              <w:jc w:val="center"/>
            </w:pPr>
            <w:r>
              <w:rPr>
                <w:rFonts w:ascii="Calibri" w:eastAsia="SimHei"/>
                <w:b/>
                <w:bCs/>
                <w:color w:val="FFFFFF"/>
                <w:sz w:val="20"/>
                <w:szCs w:val="20"/>
              </w:rPr>
              <w:t xml:space="preserve">Fonte</w:t>
            </w:r>
          </w:p>
        </w:tc>
        <w:tc>
          <w:tcPr>
            <w:tcW w:type="pct" w:w="25%"/>
            <w:tcBorders>
              <w:top w:val="single" w:color="529286" w:sz="2"/>
              <w:left w:val="none"/>
              <w:bottom w:val="single" w:color="529286" w:sz="2"/>
              <w:right w:val="none"/>
            </w:tcBorders>
            <w:shd w:fill="529286" w:val="clear"/>
            <w:tcMar>
              <w:top w:type="dxa" w:w="60"/>
              <w:left w:type="dxa" w:w="120"/>
              <w:bottom w:type="dxa" w:w="60"/>
              <w:right w:type="dxa" w:w="120"/>
            </w:tcMar>
            <w:vAlign w:val="center"/>
          </w:tcPr>
          <w:p>
            <w:pPr>
              <w:spacing w:line="276"/>
              <w:jc w:val="center"/>
            </w:pPr>
            <w:r>
              <w:rPr>
                <w:rFonts w:ascii="Calibri" w:eastAsia="SimHei"/>
                <w:b/>
                <w:bCs/>
                <w:color w:val="FFFFFF"/>
                <w:sz w:val="20"/>
                <w:szCs w:val="20"/>
              </w:rPr>
              <w:t xml:space="preserve">Frequencia Original</w:t>
            </w:r>
          </w:p>
        </w:tc>
        <w:tc>
          <w:tcPr>
            <w:tcW w:type="pct" w:w="30%"/>
            <w:tcBorders>
              <w:top w:val="single" w:color="529286" w:sz="2"/>
              <w:left w:val="none"/>
              <w:bottom w:val="single" w:color="529286" w:sz="2"/>
              <w:right w:val="none"/>
            </w:tcBorders>
            <w:shd w:fill="529286" w:val="clear"/>
            <w:tcMar>
              <w:top w:type="dxa" w:w="60"/>
              <w:left w:type="dxa" w:w="120"/>
              <w:bottom w:type="dxa" w:w="60"/>
              <w:right w:type="dxa" w:w="120"/>
            </w:tcMar>
            <w:vAlign w:val="center"/>
          </w:tcPr>
          <w:p>
            <w:pPr>
              <w:spacing w:line="276"/>
              <w:jc w:val="center"/>
            </w:pPr>
            <w:r>
              <w:rPr>
                <w:rFonts w:ascii="Calibri" w:eastAsia="SimHei"/>
                <w:b/>
                <w:bCs/>
                <w:color w:val="FFFFFF"/>
                <w:sz w:val="20"/>
                <w:szCs w:val="20"/>
              </w:rPr>
              <w:t xml:space="preserve">Agregacao Recomendada</w:t>
            </w:r>
          </w:p>
        </w:tc>
        <w:tc>
          <w:tcPr>
            <w:tcW w:type="pct" w:w="25%"/>
            <w:tcBorders>
              <w:top w:val="single" w:color="529286" w:sz="2"/>
              <w:left w:val="none"/>
              <w:bottom w:val="single" w:color="529286" w:sz="2"/>
              <w:right w:val="none"/>
            </w:tcBorders>
            <w:shd w:fill="529286" w:val="clear"/>
            <w:tcMar>
              <w:top w:type="dxa" w:w="60"/>
              <w:left w:type="dxa" w:w="120"/>
              <w:bottom w:type="dxa" w:w="60"/>
              <w:right w:type="dxa" w:w="120"/>
            </w:tcMar>
            <w:vAlign w:val="center"/>
          </w:tcPr>
          <w:p>
            <w:pPr>
              <w:spacing w:line="276"/>
              <w:jc w:val="center"/>
            </w:pPr>
            <w:r>
              <w:rPr>
                <w:rFonts w:ascii="Calibri" w:eastAsia="SimHei"/>
                <w:b/>
                <w:bCs/>
                <w:color w:val="FFFFFF"/>
                <w:sz w:val="20"/>
                <w:szCs w:val="20"/>
              </w:rPr>
              <w:t xml:space="preserve">Lag</w:t>
            </w:r>
          </w:p>
        </w:tc>
      </w:tr>
      <w:tr>
        <w:trPr>
          <w:cantSplit/>
        </w:trPr>
        <w:tc>
          <w:tcPr>
            <w:tcW w:type="pct" w:w="20%"/>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INPE</w:t>
            </w:r>
          </w:p>
        </w:tc>
        <w:tc>
          <w:tcPr>
            <w:tcW w:type="pct" w:w="25%"/>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Horario</w:t>
            </w:r>
          </w:p>
        </w:tc>
        <w:tc>
          <w:tcPr>
            <w:tcW w:type="pct" w:w="30%"/>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Janelas 7/30 dias</w:t>
            </w:r>
          </w:p>
        </w:tc>
        <w:tc>
          <w:tcPr>
            <w:tcW w:type="pct" w:w="25%"/>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Minimo</w:t>
            </w:r>
          </w:p>
        </w:tc>
      </w:tr>
      <w:tr>
        <w:trPr>
          <w:cantSplit/>
        </w:trPr>
        <w:tc>
          <w:tcPr>
            <w:tcW w:type="pct" w:w="20%"/>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INMET</w:t>
            </w:r>
          </w:p>
        </w:tc>
        <w:tc>
          <w:tcPr>
            <w:tcW w:type="pct" w:w="25%"/>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Diario</w:t>
            </w:r>
          </w:p>
        </w:tc>
        <w:tc>
          <w:tcPr>
            <w:tcW w:type="pct" w:w="30%"/>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Medias mensais</w:t>
            </w:r>
          </w:p>
        </w:tc>
        <w:tc>
          <w:tcPr>
            <w:tcW w:type="pct" w:w="25%"/>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1-2 dias</w:t>
            </w:r>
          </w:p>
        </w:tc>
      </w:tr>
      <w:tr>
        <w:trPr>
          <w:cantSplit/>
        </w:trPr>
        <w:tc>
          <w:tcPr>
            <w:tcW w:type="pct" w:w="20%"/>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DataJud</w:t>
            </w:r>
          </w:p>
        </w:tc>
        <w:tc>
          <w:tcPr>
            <w:tcW w:type="pct" w:w="25%"/>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Continuo</w:t>
            </w:r>
          </w:p>
        </w:tc>
        <w:tc>
          <w:tcPr>
            <w:tcW w:type="pct" w:w="30%"/>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Contagens mensais</w:t>
            </w:r>
          </w:p>
        </w:tc>
        <w:tc>
          <w:tcPr>
            <w:tcW w:type="pct" w:w="25%"/>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1-7 dias</w:t>
            </w:r>
          </w:p>
        </w:tc>
      </w:tr>
      <w:tr>
        <w:trPr>
          <w:cantSplit/>
        </w:trPr>
        <w:tc>
          <w:tcPr>
            <w:tcW w:type="pct" w:w="20%"/>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CAGED</w:t>
            </w:r>
          </w:p>
        </w:tc>
        <w:tc>
          <w:tcPr>
            <w:tcW w:type="pct" w:w="25%"/>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Mensal</w:t>
            </w:r>
          </w:p>
        </w:tc>
        <w:tc>
          <w:tcPr>
            <w:tcW w:type="pct" w:w="30%"/>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Mensal</w:t>
            </w:r>
          </w:p>
        </w:tc>
        <w:tc>
          <w:tcPr>
            <w:tcW w:type="pct" w:w="25%"/>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30-45 dias</w:t>
            </w:r>
          </w:p>
        </w:tc>
      </w:tr>
      <w:tr>
        <w:trPr>
          <w:cantSplit/>
        </w:trPr>
        <w:tc>
          <w:tcPr>
            <w:tcW w:type="pct" w:w="20%"/>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ESTBAN</w:t>
            </w:r>
          </w:p>
        </w:tc>
        <w:tc>
          <w:tcPr>
            <w:tcW w:type="pct" w:w="25%"/>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Mensal</w:t>
            </w:r>
          </w:p>
        </w:tc>
        <w:tc>
          <w:tcPr>
            <w:tcW w:type="pct" w:w="30%"/>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Mensal</w:t>
            </w:r>
          </w:p>
        </w:tc>
        <w:tc>
          <w:tcPr>
            <w:tcW w:type="pct" w:w="25%"/>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60-90 dias</w:t>
            </w:r>
          </w:p>
        </w:tc>
      </w:tr>
      <w:tr>
        <w:trPr>
          <w:cantSplit/>
        </w:trPr>
        <w:tc>
          <w:tcPr>
            <w:tcW w:type="pct" w:w="20%"/>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DATASUS</w:t>
            </w:r>
          </w:p>
        </w:tc>
        <w:tc>
          <w:tcPr>
            <w:tcW w:type="pct" w:w="25%"/>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Mensal/Anual</w:t>
            </w:r>
          </w:p>
        </w:tc>
        <w:tc>
          <w:tcPr>
            <w:tcW w:type="pct" w:w="30%"/>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Mensal</w:t>
            </w:r>
          </w:p>
        </w:tc>
        <w:tc>
          <w:tcPr>
            <w:tcW w:type="pct" w:w="25%"/>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30-180 dias</w:t>
            </w:r>
          </w:p>
        </w:tc>
      </w:tr>
      <w:tr>
        <w:trPr>
          <w:cantSplit/>
        </w:trPr>
        <w:tc>
          <w:tcPr>
            <w:tcW w:type="pct" w:w="20%"/>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INEP</w:t>
            </w:r>
          </w:p>
        </w:tc>
        <w:tc>
          <w:tcPr>
            <w:tcW w:type="pct" w:w="25%"/>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Anual</w:t>
            </w:r>
          </w:p>
        </w:tc>
        <w:tc>
          <w:tcPr>
            <w:tcW w:type="pct" w:w="30%"/>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Anual</w:t>
            </w:r>
          </w:p>
        </w:tc>
        <w:tc>
          <w:tcPr>
            <w:tcW w:type="pct" w:w="25%"/>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6-12 meses</w:t>
            </w:r>
          </w:p>
        </w:tc>
      </w:tr>
      <w:tr>
        <w:trPr>
          <w:cantSplit/>
        </w:trPr>
        <w:tc>
          <w:tcPr>
            <w:tcW w:type="pct" w:w="20%"/>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RAIS</w:t>
            </w:r>
          </w:p>
        </w:tc>
        <w:tc>
          <w:tcPr>
            <w:tcW w:type="pct" w:w="25%"/>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Anual</w:t>
            </w:r>
          </w:p>
        </w:tc>
        <w:tc>
          <w:tcPr>
            <w:tcW w:type="pct" w:w="30%"/>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Anual</w:t>
            </w:r>
          </w:p>
        </w:tc>
        <w:tc>
          <w:tcPr>
            <w:tcW w:type="pct" w:w="25%"/>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12-18 meses</w:t>
            </w:r>
          </w:p>
        </w:tc>
      </w:tr>
      <w:tr>
        <w:trPr>
          <w:cantSplit/>
        </w:trPr>
        <w:tc>
          <w:tcPr>
            <w:tcW w:type="pct" w:w="20%"/>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Comex Stat</w:t>
            </w:r>
          </w:p>
        </w:tc>
        <w:tc>
          <w:tcPr>
            <w:tcW w:type="pct" w:w="25%"/>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Mensal</w:t>
            </w:r>
          </w:p>
        </w:tc>
        <w:tc>
          <w:tcPr>
            <w:tcW w:type="pct" w:w="30%"/>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Mensal</w:t>
            </w:r>
          </w:p>
        </w:tc>
        <w:tc>
          <w:tcPr>
            <w:tcW w:type="pct" w:w="25%"/>
            <w:tcBorders>
              <w:top w:val="none"/>
              <w:left w:val="none"/>
              <w:bottom w:val="single" w:color="BECFCC" w:sz="1"/>
              <w:right w:val="none"/>
            </w:tcBorders>
            <w:shd w:fill="E8ECEB" w:val="clear"/>
            <w:tcMar>
              <w:top w:type="dxa" w:w="60"/>
              <w:left w:type="dxa" w:w="120"/>
              <w:bottom w:type="dxa" w:w="60"/>
              <w:right w:type="dxa" w:w="120"/>
            </w:tcMar>
            <w:vAlign w:val="center"/>
          </w:tcPr>
          <w:p>
            <w:pPr>
              <w:spacing w:line="276"/>
            </w:pPr>
            <w:r>
              <w:rPr>
                <w:rFonts w:ascii="Calibri" w:eastAsia="SimHei"/>
                <w:color w:val="000000"/>
                <w:sz w:val="20"/>
                <w:szCs w:val="20"/>
              </w:rPr>
              <w:t xml:space="preserve">30-60 dias</w:t>
            </w:r>
          </w:p>
        </w:tc>
      </w:tr>
      <w:tr>
        <w:trPr>
          <w:cantSplit/>
        </w:trPr>
        <w:tc>
          <w:tcPr>
            <w:tcW w:type="pct" w:w="20%"/>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IBGE/Censo</w:t>
            </w:r>
          </w:p>
        </w:tc>
        <w:tc>
          <w:tcPr>
            <w:tcW w:type="pct" w:w="25%"/>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Decenal</w:t>
            </w:r>
          </w:p>
        </w:tc>
        <w:tc>
          <w:tcPr>
            <w:tcW w:type="pct" w:w="30%"/>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Anual (estimativas)</w:t>
            </w:r>
          </w:p>
        </w:tc>
        <w:tc>
          <w:tcPr>
            <w:tcW w:type="pct" w:w="25%"/>
            <w:tcBorders>
              <w:top w:val="none"/>
              <w:left w:val="none"/>
              <w:bottom w:val="single" w:color="BECFCC" w:sz="1"/>
              <w:right w:val="none"/>
            </w:tcBorders>
            <w:tcMar>
              <w:top w:type="dxa" w:w="60"/>
              <w:left w:type="dxa" w:w="120"/>
              <w:bottom w:type="dxa" w:w="60"/>
              <w:right w:type="dxa" w:w="120"/>
            </w:tcMar>
            <w:vAlign w:val="center"/>
          </w:tcPr>
          <w:p>
            <w:pPr>
              <w:spacing w:line="276"/>
            </w:pPr>
            <w:r>
              <w:rPr>
                <w:rFonts w:ascii="Calibri" w:eastAsia="SimHei"/>
                <w:color w:val="000000"/>
                <w:sz w:val="20"/>
                <w:szCs w:val="20"/>
              </w:rPr>
              <w:t xml:space="preserve">1-10 anos</w:t>
            </w:r>
          </w:p>
        </w:tc>
      </w:tr>
    </w:tbl>
    <w:p>
      <w:pPr>
        <w:spacing w:after="200"/>
      </w:pPr>
    </w:p>
    <w:p>
      <w:pPr>
        <w:pStyle w:val="Heading2"/>
        <w:spacing w:after="160" w:before="360" w:line="312"/>
      </w:pPr>
      <w:bookmarkStart w:id="100060" w:name="_Toc100060"/>
      <w:r>
        <w:rPr>
          <w:rFonts w:ascii="Calibri" w:eastAsia="SimHei"/>
          <w:b/>
          <w:bCs/>
          <w:color w:val="0B1220"/>
          <w:sz w:val="28"/>
          <w:szCs w:val="28"/>
        </w:rPr>
        <w:t xml:space="preserve">7.2 Stack Recomendado</w:t>
      </w:r>
      <w:bookmarkEnd w:id="100060"/>
    </w:p>
    <w:p>
      <w:pPr>
        <w:spacing w:after="120" w:line="312"/>
        <w:ind w:firstLine="480"/>
        <w:jc w:val="both"/>
      </w:pPr>
      <w:r>
        <w:rPr>
          <w:rFonts w:ascii="Calibri" w:eastAsia="SimHei"/>
          <w:color w:val="000000"/>
          <w:sz w:val="24"/>
          <w:szCs w:val="24"/>
        </w:rPr>
        <w:t xml:space="preserve">Para orchestracao de pipelines de dados, recomenda-se Apache Airflow, que permite agendamento, monitoramento e retry automatico de tarefas de ingesta e processamento. Para processamento de grandes volumes, Spark ou Dask oferecem paralelizacao eficiente. O armazenamento primario deve ser PostgreSQL com extensao PostGIS para dados espaciais. O Elasticsearch e recomendado para indexacao e busca nos dados do DataJud. FastAPI serve como framework de API para exposicao dos insights gerados. Para dashboards interativos, Next.js com Mapbox GL oferece visualizacao geoespacial de alto impacto.</w:t>
      </w:r>
    </w:p>
    <w:p>
      <w:pPr>
        <w:spacing w:after="120" w:line="312"/>
        <w:ind w:firstLine="480"/>
        <w:jc w:val="both"/>
      </w:pPr>
      <w:r>
        <w:rPr>
          <w:rFonts w:ascii="Calibri" w:eastAsia="SimHei"/>
          <w:color w:val="000000"/>
          <w:sz w:val="24"/>
          <w:szCs w:val="24"/>
        </w:rPr>
        <w:t xml:space="preserve">A arquitetura recomendada segue o padrao medallion (bronze-silver-gold): dados brutos sao ingeridos na camada bronze, limpos e normalizados na camada prata, e agregados em indices prontos para consumo na camada ouro. Este padrao facilita rastreabilidade, reprocessamento e auditoria. Cache e ingesta propria sao obrigatorios, uma vez que nenhuma API publica garante SLA ou disponibilidade continua.</w:t>
      </w:r>
    </w:p>
    <w:p>
      <w:pPr>
        <w:spacing w:after="200"/>
      </w:pPr>
    </w:p>
    <w:p>
      <w:pPr>
        <w:pStyle w:val="Heading1"/>
        <w:spacing w:after="240" w:before="480" w:line="312"/>
      </w:pPr>
      <w:bookmarkStart w:id="100061" w:name="_Toc100061"/>
      <w:r>
        <w:rPr>
          <w:rFonts w:ascii="Calibri" w:eastAsia="SimHei"/>
          <w:b/>
          <w:bCs/>
          <w:color w:val="0B1220"/>
          <w:sz w:val="32"/>
          <w:szCs w:val="32"/>
        </w:rPr>
        <w:t xml:space="preserve">Capitulo 8: Framework Legal Consolidado</w:t>
      </w:r>
      <w:bookmarkEnd w:id="100061"/>
    </w:p>
    <w:p>
      <w:pPr>
        <w:spacing w:after="120" w:line="312"/>
        <w:ind w:firstLine="480"/>
        <w:jc w:val="both"/>
      </w:pPr>
      <w:r>
        <w:rPr>
          <w:rFonts w:ascii="Calibri" w:eastAsia="SimHei"/>
          <w:color w:val="000000"/>
          <w:sz w:val="24"/>
          <w:szCs w:val="24"/>
        </w:rPr>
        <w:t xml:space="preserve">Este capitulo consolida as questoes legais transversais que afetam todos os negocios baseados em dados publicos no Brasil, incluindo LGPD, termos de uso especificos e boas praticas de compliance. A compreensao do arcabouco legal e tao importante quanto a engenharia de dados para garantir a sustentabilidade do negocio.</w:t>
      </w:r>
    </w:p>
    <w:p>
      <w:pPr>
        <w:pStyle w:val="Heading2"/>
        <w:spacing w:after="160" w:before="360" w:line="312"/>
      </w:pPr>
      <w:bookmarkStart w:id="100062" w:name="_Toc100062"/>
      <w:r>
        <w:rPr>
          <w:rFonts w:ascii="Calibri" w:eastAsia="SimHei"/>
          <w:b/>
          <w:bCs/>
          <w:color w:val="0B1220"/>
          <w:sz w:val="28"/>
          <w:szCs w:val="28"/>
        </w:rPr>
        <w:t xml:space="preserve">8.1 Questoes Legais Transversais</w:t>
      </w:r>
      <w:bookmarkEnd w:id="100062"/>
    </w:p>
    <w:p>
      <w:pPr>
        <w:spacing w:after="120" w:line="312"/>
        <w:ind w:firstLine="480"/>
        <w:jc w:val="both"/>
      </w:pPr>
      <w:r>
        <w:rPr>
          <w:rFonts w:ascii="Calibri" w:eastAsia="SimHei"/>
          <w:color w:val="000000"/>
          <w:sz w:val="24"/>
          <w:szCs w:val="24"/>
        </w:rPr>
        <w:t xml:space="preserve">A LGPD (Lei Geral de Protecao de Dados, Lei 13.709/2018) permite o uso de dados anonimizados e agregados sem consentimento, mas proibe a reidentificacao. Os microdados do INEP foram reformulados para LGPD, com a ANPD confirmando que os riscos foram enderecados. O DataJud fornece apenas metadados publicos, sem processos em segredo de justica. O IBGE permite uso gratuito com atribuição, mas microdados possuem sigilo estatistico (Lei 5.534/1968). O CAGED e BCB sao abertos, sem restricoes de uso agregado. INMET e INPE sao dados abertos com atribuicao obrigatoria. OSM usa licenca ODbL com atribuição e share-alike para bases derivadas. SICAR requer notificacao ao MAPA para uso comercial. Comex Stat tem licenca CC BY-NC-ND 4.0, proibindo uso comercial e derivados sem autorizacao do MDIC.</w:t>
      </w:r>
    </w:p>
    <w:p>
      <w:pPr>
        <w:pStyle w:val="Heading2"/>
        <w:spacing w:after="160" w:before="360" w:line="312"/>
      </w:pPr>
      <w:bookmarkStart w:id="100063" w:name="_Toc100063"/>
      <w:r>
        <w:rPr>
          <w:rFonts w:ascii="Calibri" w:eastAsia="SimHei"/>
          <w:b/>
          <w:bCs/>
          <w:color w:val="0B1220"/>
          <w:sz w:val="28"/>
          <w:szCs w:val="28"/>
        </w:rPr>
        <w:t xml:space="preserve">8.2 Alternativas ao Comex Stat</w:t>
      </w:r>
      <w:bookmarkEnd w:id="100063"/>
    </w:p>
    <w:p>
      <w:pPr>
        <w:spacing w:after="120" w:line="312"/>
        <w:ind w:firstLine="480"/>
        <w:jc w:val="both"/>
      </w:pPr>
      <w:r>
        <w:rPr>
          <w:rFonts w:ascii="Calibri" w:eastAsia="SimHei"/>
          <w:color w:val="000000"/>
          <w:sz w:val="24"/>
          <w:szCs w:val="24"/>
        </w:rPr>
        <w:t xml:space="preserve">Para combinacoes que necessitam de dados de comercio exterior com uso comercial, existem alternativas livres de restricoes: IBGE PAM (Producao Agricola Municipal), IBGE PPM (Producao Pecuaria Municipal), IBGE PIA (Producao Industrial Municipal) e os relatorios agregados do SECEX/MDIC. Essas fontes oferecem cobertura similar para a maioria das analises, sem as restricoes da licenca CC BY-NC-ND 4.0.</w:t>
      </w:r>
    </w:p>
    <w:p>
      <w:pPr>
        <w:pStyle w:val="Heading2"/>
        <w:spacing w:after="160" w:before="360" w:line="312"/>
      </w:pPr>
      <w:bookmarkStart w:id="100064" w:name="_Toc100064"/>
      <w:r>
        <w:rPr>
          <w:rFonts w:ascii="Calibri" w:eastAsia="SimHei"/>
          <w:b/>
          <w:bCs/>
          <w:color w:val="0B1220"/>
          <w:sz w:val="28"/>
          <w:szCs w:val="28"/>
        </w:rPr>
        <w:t xml:space="preserve">8.3 Boas Praticas de Compliance</w:t>
      </w:r>
      <w:bookmarkEnd w:id="100064"/>
    </w:p>
    <w:p>
      <w:pPr>
        <w:spacing w:after="120" w:line="312"/>
        <w:ind w:firstLine="480"/>
        <w:jc w:val="both"/>
      </w:pPr>
      <w:r>
        <w:rPr>
          <w:rFonts w:ascii="Calibri" w:eastAsia="SimHei"/>
          <w:color w:val="000000"/>
          <w:sz w:val="24"/>
          <w:szCs w:val="24"/>
        </w:rPr>
        <w:t xml:space="preserve">Manter sempre nivel agregado, nunca permitindo identificacao individual. Sempre citar as fontes de dados. Nunca redistribuir bases brutas; vender insights derivados. Verificar termos de uso especificos antes de comercializar. Implementar cache e ingesta propria, uma vez que nenhuma API publica garante SLA ou disponibilidade continua. Documentar a cadeia de derivacao de dados para auditoria e compliance. Revisar periodicamente os termos de uso, que podem mudar sem aviso previso.</w:t>
      </w:r>
    </w:p>
    <w:p>
      <w:pPr>
        <w:spacing w:after="200"/>
      </w:pPr>
    </w:p>
    <w:p>
      <w:pPr>
        <w:pStyle w:val="Heading1"/>
        <w:spacing w:after="240" w:before="480" w:line="312"/>
      </w:pPr>
      <w:bookmarkStart w:id="100065" w:name="_Toc100065"/>
      <w:r>
        <w:rPr>
          <w:rFonts w:ascii="Calibri" w:eastAsia="SimHei"/>
          <w:b/>
          <w:bCs/>
          <w:color w:val="0B1220"/>
          <w:sz w:val="32"/>
          <w:szCs w:val="32"/>
        </w:rPr>
        <w:t xml:space="preserve">Capitulo 9: Roadmap e Priorizacao</w:t>
      </w:r>
      <w:bookmarkEnd w:id="100065"/>
    </w:p>
    <w:p>
      <w:pPr>
        <w:spacing w:after="120" w:line="312"/>
        <w:ind w:firstLine="480"/>
        <w:jc w:val="both"/>
      </w:pPr>
      <w:r>
        <w:rPr>
          <w:rFonts w:ascii="Calibri" w:eastAsia="SimHei"/>
          <w:color w:val="000000"/>
          <w:sz w:val="24"/>
          <w:szCs w:val="24"/>
        </w:rPr>
        <w:t xml:space="preserve">Este capitulo apresenta a priorizacao das combinacoes, o roadmap de 18 meses e a abordagem recomendada para maximizar o retorno sobre investimento com gerenciamento eficiente de risco e recursos.</w:t>
      </w:r>
    </w:p>
    <w:p>
      <w:pPr>
        <w:pStyle w:val="Heading2"/>
        <w:spacing w:after="160" w:before="360" w:line="312"/>
      </w:pPr>
      <w:bookmarkStart w:id="100066" w:name="_Toc100066"/>
      <w:r>
        <w:rPr>
          <w:rFonts w:ascii="Calibri" w:eastAsia="SimHei"/>
          <w:b/>
          <w:bCs/>
          <w:color w:val="0B1220"/>
          <w:sz w:val="28"/>
          <w:szCs w:val="28"/>
        </w:rPr>
        <w:t xml:space="preserve">9.1 Priorizacao das Combinacoes</w:t>
      </w:r>
      <w:bookmarkEnd w:id="100066"/>
    </w:p>
    <w:p>
      <w:pPr>
        <w:spacing w:after="120" w:line="312"/>
        <w:ind w:firstLine="480"/>
        <w:jc w:val="both"/>
      </w:pPr>
      <w:r>
        <w:rPr>
          <w:rFonts w:ascii="Calibri" w:eastAsia="SimHei"/>
          <w:color w:val="000000"/>
          <w:sz w:val="24"/>
          <w:szCs w:val="24"/>
        </w:rPr>
        <w:t xml:space="preserve">A priorizacao segue tres criterios: barreiras legais (menor e melhor), complexidade tecnica (menor primeiro) e tamanho do mercado (maior primeiro). Na primeira posicao esta a Combinacao A (Termometro Social), com MVP em 3-4 meses. Em segundo lugar, a Combinacao C (Fuga de Cerebros). Em terceiro, a Combinacao B (Cadeia Ambiente-Saude), condicionada a autorizacao do MDIC ou uso de dados do IBGE PAM como alternativa. Na fase de expansao, as Combinacoes D e E (Credito Territorial e Judicializacao da Saude). A visao de longo prazo e a Combinacao F (IVM), como plataforma sintetica.</w:t>
      </w:r>
    </w:p>
    <w:p>
      <w:pPr>
        <w:pStyle w:val="Heading2"/>
        <w:spacing w:after="160" w:before="360" w:line="312"/>
      </w:pPr>
      <w:bookmarkStart w:id="100067" w:name="_Toc100067"/>
      <w:r>
        <w:rPr>
          <w:rFonts w:ascii="Calibri" w:eastAsia="SimHei"/>
          <w:b/>
          <w:bCs/>
          <w:color w:val="0B1220"/>
          <w:sz w:val="28"/>
          <w:szCs w:val="28"/>
        </w:rPr>
        <w:t xml:space="preserve">9.2 Roadmap 18 Meses</w:t>
      </w:r>
      <w:bookmarkEnd w:id="100067"/>
    </w:p>
    <w:p>
      <w:pPr>
        <w:spacing w:after="120" w:line="312"/>
        <w:ind w:firstLine="480"/>
        <w:jc w:val="both"/>
      </w:pPr>
      <w:r>
        <w:rPr>
          <w:rFonts w:ascii="Calibri" w:eastAsia="SimHei"/>
          <w:color w:val="000000"/>
          <w:sz w:val="24"/>
          <w:szCs w:val="24"/>
        </w:rPr>
        <w:t xml:space="preserve">Os primeiros 4 meses sao dedicados ao MVP da Combinacao A (Termometro Social), com foco na ingesta automatizada de CAGED, BCB e DATASUS e construcao do modelo preditivo inicial. Os meses 5-8 contemplam o MVP da Combinacao C (Fuga de Cerebros), integrando INEP, RAIS/CAGED e IBGE. Os meses 9-12 sao reservados para o Produto B (Cadeia Ambiente-Saude), incluindo negociacao com MDIC ou implementacao da alternativa com IBGE PAM. Os meses 13-18 visam o IVM v1 com 3-4 dimensoes operacionais, consolidando a plataforma sintetica.</w:t>
      </w:r>
    </w:p>
    <w:p>
      <w:pPr>
        <w:pStyle w:val="Heading2"/>
        <w:spacing w:after="160" w:before="360" w:line="312"/>
      </w:pPr>
      <w:bookmarkStart w:id="100068" w:name="_Toc100068"/>
      <w:r>
        <w:rPr>
          <w:rFonts w:ascii="Calibri" w:eastAsia="SimHei"/>
          <w:b/>
          <w:bCs/>
          <w:color w:val="0B1220"/>
          <w:sz w:val="28"/>
          <w:szCs w:val="28"/>
        </w:rPr>
        <w:t xml:space="preserve">9.3 Abordagem Recomendada</w:t>
      </w:r>
      <w:bookmarkEnd w:id="100068"/>
    </w:p>
    <w:p>
      <w:pPr>
        <w:spacing w:after="120" w:line="312"/>
        <w:ind w:firstLine="480"/>
        <w:jc w:val="both"/>
      </w:pPr>
      <w:r>
        <w:rPr>
          <w:rFonts w:ascii="Calibri" w:eastAsia="SimHei"/>
          <w:color w:val="000000"/>
          <w:sz w:val="24"/>
          <w:szCs w:val="24"/>
        </w:rPr>
        <w:t xml:space="preserve">Recomenda-se adotar a abordagem de Lean MVP em 8-12 semanas, validando regionalmente antes de escalar nacionalmente. O LexAnalytics (da analise DOCX) ou GeoExpansao (do relatorio PDF) podem ser usados como primeira prioridade, dado o baixo custo de aquisicao de dados, alta demanda recorrente e altos custos de troca para clientes. A combinacao de dados de emprego, litigacao e contexto socioeconomico gera insights dificeis de replicar por competidores, criando barreiras naturais de entrada. O investimento inicial recomendado e de R$100-250 mil para o primeiro MVP, com foco em validacao de mercado antes de investimentos significativos em infraestrutura.</w:t>
      </w:r>
    </w:p>
    <w:p>
      <w:pPr>
        <w:spacing w:after="200"/>
      </w:pPr>
    </w:p>
    <w:p>
      <w:pPr>
        <w:pStyle w:val="Heading1"/>
        <w:spacing w:after="240" w:before="480" w:line="312"/>
      </w:pPr>
      <w:bookmarkStart w:id="100069" w:name="_Toc100069"/>
      <w:r>
        <w:rPr>
          <w:rFonts w:ascii="Calibri" w:eastAsia="SimHei"/>
          <w:b/>
          <w:bCs/>
          <w:color w:val="0B1220"/>
          <w:sz w:val="32"/>
          <w:szCs w:val="32"/>
        </w:rPr>
        <w:t xml:space="preserve">Capitulo 10: Consideracoes Finais</w:t>
      </w:r>
      <w:bookmarkEnd w:id="100069"/>
    </w:p>
    <w:p>
      <w:pPr>
        <w:spacing w:after="120" w:line="312"/>
        <w:ind w:firstLine="480"/>
        <w:jc w:val="both"/>
      </w:pPr>
      <w:r>
        <w:rPr>
          <w:rFonts w:ascii="Calibri" w:eastAsia="SimHei"/>
          <w:color w:val="000000"/>
          <w:sz w:val="24"/>
          <w:szCs w:val="24"/>
        </w:rPr>
        <w:t xml:space="preserve">Dados publicos sao materia-prima gratuita, mas o valor real reside na inteligencia de cruzamento, na qualidade da interface e na automacao da atualizacao continua. A barreira competitiva nao esta nos dados em si, que sao acessiveis a todos, mas na engenharia de cruzamento geografico e temporal, na manutencao da qualidade dos dados e na construcao de interfaces que transformam complexidade em decisoes acionaveis.</w:t>
      </w:r>
    </w:p>
    <w:p>
      <w:pPr>
        <w:spacing w:after="120" w:line="312"/>
        <w:ind w:firstLine="480"/>
        <w:jc w:val="both"/>
      </w:pPr>
      <w:r>
        <w:rPr>
          <w:rFonts w:ascii="Calibri" w:eastAsia="SimHei"/>
          <w:color w:val="000000"/>
          <w:sz w:val="24"/>
          <w:szCs w:val="24"/>
        </w:rPr>
        <w:t xml:space="preserve">Os principais riscos identificados sao: dependencia da continuidade dos dados publicos, instabilidade de APIs (mudancas de chave do DataJud, API nao-oficial do INMET), e alteracoes nos termos de uso. Nenhuma das APIs garante SLA, o que torna obrigatoria a implementacao de cache e ingesta propria para qualquer produto comercial.</w:t>
      </w:r>
    </w:p>
    <w:p>
      <w:pPr>
        <w:spacing w:after="120" w:line="312"/>
        <w:ind w:firstLine="480"/>
        <w:jc w:val="both"/>
      </w:pPr>
      <w:r>
        <w:rPr>
          <w:rFonts w:ascii="Calibri" w:eastAsia="SimHei"/>
          <w:color w:val="000000"/>
          <w:sz w:val="24"/>
          <w:szCs w:val="24"/>
        </w:rPr>
        <w:t xml:space="preserve">Tres caracteristicas estruturais sao compartilhadas por todos os negocios baseados em dados publicos: (1) dados sao commodity, disponiveis para todos; (2) o modelo (algoritmo, indice, interface) e o ativo; (3) os custos de troca para clientes sao altos, uma vez que dados historicos acumulados e calibracao de modelos criam dependencia. Essa combinacao de commodity na entrada e diferenciacao na execucao cria oportunidades sustentaveis para empreendedores que investem consistentemente em engenharia de dados.</w:t>
      </w:r>
    </w:p>
    <w:p>
      <w:pPr>
        <w:spacing w:after="120" w:line="312"/>
        <w:ind w:firstLine="480"/>
        <w:jc w:val="both"/>
      </w:pPr>
      <w:r>
        <w:rPr>
          <w:rFonts w:ascii="Calibri" w:eastAsia="SimHei"/>
          <w:color w:val="000000"/>
          <w:sz w:val="24"/>
          <w:szCs w:val="24"/>
        </w:rPr>
        <w:t xml:space="preserve">O ecossistema brasileiro de dados publicos e uma vantagem competitiva Nacional subutilizada. Os dados existem, sao gratuitos e sao abundantes. O que falta e a camada de inteligencia que os transforma em valor economico. Este documento fornece o mapa completo para essa transformacao, desde o catalogo de fontes ate o roadmap de implementacao, passando pelas ideias de negocios, combinacoes estrategicas e framework legal. O proximo passo e agir.</w:t>
      </w:r>
    </w:p>
    <w:sectPr>
      <w:headerReference w:type="default" r:id="rId8"/>
      <w:footerReference w:type="default" r:id="rId9"/>
      <w:type w:val="nextPage"/>
      <w:pgSz w:w="11906" w:h="16838" w:orient="portrait"/>
      <w:pgMar w:top="1417" w:right="1417" w:bottom="1417"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68707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68707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i/>
        <w:iCs/>
        <w:color w:val="90989F"/>
        <w:sz w:val="16"/>
        <w:szCs w:val="16"/>
      </w:rPr>
      <w:t xml:space="preserve">Inteligencia de Mercado com Dados Publicos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He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line="312"/>
      <w:outlineLvl w:val="0"/>
    </w:pPr>
    <w:rPr>
      <w:rFonts w:ascii="Calibri" w:eastAsia="SimHei"/>
      <w:b/>
      <w:bCs/>
      <w:color w:val="0B1220"/>
      <w:sz w:val="32"/>
      <w:szCs w:val="32"/>
    </w:rPr>
  </w:style>
  <w:style w:type="paragraph" w:styleId="Heading2">
    <w:name w:val="Heading 2"/>
    <w:basedOn w:val="Normal"/>
    <w:next w:val="Normal"/>
    <w:qFormat/>
    <w:pPr>
      <w:spacing w:after="160" w:before="360" w:line="312"/>
      <w:outlineLvl w:val="1"/>
    </w:pPr>
    <w:rPr>
      <w:rFonts w:ascii="Calibri" w:eastAsia="SimHei"/>
      <w:b/>
      <w:bCs/>
      <w:color w:val="0B1220"/>
      <w:sz w:val="28"/>
      <w:szCs w:val="28"/>
    </w:rPr>
  </w:style>
  <w:style w:type="paragraph" w:styleId="Heading3">
    <w:name w:val="Heading 3"/>
    <w:basedOn w:val="Normal"/>
    <w:next w:val="Normal"/>
    <w:qFormat/>
    <w:pPr>
      <w:spacing w:after="120" w:before="240" w:line="312"/>
      <w:outlineLvl w:val="2"/>
    </w:pPr>
    <w:rPr>
      <w:rFonts w:ascii="Calibri" w:eastAsia="SimHei"/>
      <w:b/>
      <w:bCs/>
      <w:color w:val="0B122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2026-06-05T01:57:53.408Z</dcterms:created>
  <dcterms:modified xsi:type="dcterms:W3CDTF">2026-06-05T01:57:53.409Z</dcterms:modified>
</cp:coreProperties>
</file>

<file path=docProps/custom.xml><?xml version="1.0" encoding="utf-8"?>
<Properties xmlns="http://schemas.openxmlformats.org/officeDocument/2006/custom-properties" xmlns:vt="http://schemas.openxmlformats.org/officeDocument/2006/docPropsVTypes"/>
</file>