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Capítulo 11: A Camada Cívica — Produtos de Valor Triplo e o Modelo Open-Core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Os dez capítulos anteriores trataram os dados públicos sobretudo como matéria-prima para decisões empresariais: scores de risco, índices de atratividade comercial, sinais antecipados para investidores. Essa é uma lente legítima e rentável, mas é apenas metade da história. Os dados que sustentam todo este documento são públicos justamente porque pertencem à sociedade — foram coletados com recursos públicos, sobre fenômenos públicos, para finalidades públicas. Este capítulo introduz a lente complementar: a dos negócios em que a informação retorna à população como bem de uso, e em que o mesmo produto carrega significado simultâneo para o cidadão, para a empresa e para a organização da sociedade civil.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Chamamos essa categoria de produtos de valor triplo, e o arranjo de receita que a torna sustentável de modelo open-core cívico. A tese central do capítulo é que, neste espaço específico, servir à população e às ONGs não é filantropia nem desvio da estratégia comercial — é a própria fonte de defensabilidade, legitimidade e distribuição que um concorrente puramente extrativo não consegue replicar baixando as mesmas bases.</w:t>
      </w:r>
    </w:p>
    <w:p>
      <w:pPr>
        <w:pStyle w:val="Heading2"/>
      </w:pPr>
      <w:r>
        <w:rPr>
          <w:b/>
          <w:bCs/>
        </w:rPr>
        <w:t xml:space="preserve">11.1 O Filtro de Valor Triplo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Um produto só pertence à camada cívica quando uma única peça de informação admite três leituras distintas e legítimas ao mesmo tempo. O cidadão a lê para se proteger ou decidir sobre a própria vida; a empresa a lê para alocar capital com mais precisão; a ONG a lê para direcionar atuação e cobrar o poder público. Quando os três abrem o mesmo painel e cada um age de maneira diferente a partir dele, o que se tem não é um relatório B2B, mas um bem de informação com efeito de rede e legitimidade pública embutida.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Esse filtro é exigente. Ele descarta a maior parte das ideias dos Capítulos 4 e 5, que otimizam exclusivamente a decisão de uma empresa e não têm beneficiário-cidadão: jurimetria preditiva, score de litigiosidade de contrapartes, radar de expansão de franquias, inteligência de risco trabalhista e inteligência de comércio exterior são produtos B2B puros — úteis, porém invisíveis sob a ótica do valor triplo. O que sobrevive ao filtro é uma minoria qualificada, e é nela que reside a oportunidade cívica.</w:t>
      </w:r>
    </w:p>
    <w:p>
      <w:pPr>
        <w:pStyle w:val="Heading2"/>
      </w:pPr>
      <w:r>
        <w:rPr>
          <w:b/>
          <w:bCs/>
        </w:rPr>
        <w:t xml:space="preserve">11.2 Reavaliação das Ideias Existentes sob a Lente Cívica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Aplicando o filtro às ideias já catalogadas, seis se destacam por gerar valor para os três públicos. A predição de surtos respiratórios (Clima-Saúde, 4.3) e a plataforma SaudeGeo (4.11) são, antes de qualquer modelo de negócio, um aviso à população: vacine-se, evite exposição, procure atendimento. A mesma previsão é planejamento de capacidade para hospitais e operadoras, e mapa de mutirão para ONGs de saúde. O Termômetro Social Antecipado (Combinação A) antecipa em três a seis meses onde a deterioração econômica virará demanda social, servindo igualmente a secretarias, seguradoras e ao terceiro setor que decide onde concentrar assistência.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Geografia da Judicialização da Saúde (Combinação E) talvez seja a peça de maior densidade cívica do documento: ao cruzar processos do DataJud com a oferta real do SUS (CNES e SIH) e a demografia do IBGE, ela mostra onde o direito à saúde está estruturalmente descumprido — munição direta para defensorias e ONGs de direito sanitário, e informação de acesso para o cidadão que enfrenta filas. A Inteligência Ambiental para ESG (4.6) é o caso clássico de dado que ONGs ambientais já consomem, que empresas passaram a precisar por força do EUDR e que afeta diretamente a saúde de populações locais. E o Mapa de Inclusão Financeira (4.9) transforma a identificação de espaços brancos de crédito em pressão legítima por presença bancária, cooperativas e correspondentes.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Índice de Vulnerabilidade Municipal (Combinação F) é o exemplo mais revelador da diferença de enquadramento. No Capítulo 5 ele aparece como SaaS premium para governo federal e multilaterais, com ticket de R$200 a R$500 mil por ano. Reduzir um município a uma classificação de verde a vermelho, porém, é exatamente o tipo de síntese que jornalismo de dados, câmaras municipais e ONGs deveriam acessar livremente. Trancá-lo integralmente atrás de um paywall corporativo desperdiça seu maior potencial — e, como veremos, também enfraquece o próprio negócio.</w:t>
      </w:r>
    </w:p>
    <w:p>
      <w:pPr>
        <w:pStyle w:val="Heading2"/>
      </w:pPr>
      <w:r>
        <w:rPr>
          <w:b/>
          <w:bCs/>
        </w:rPr>
        <w:t xml:space="preserve">11.3 O Modelo Open-Core Cívico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modelo open-core cívico resolve a tensão entre missão pública e sustentabilidade financeira por estratificação, não por escolha. A camada pública — índices em linguagem comum, mapas, alertas e séries recentes — é gratuita e aberta para o cidadão, a imprensa e as ONGs. A camada profunda — acesso por API, séries históricas completas, granularidade fina, customização, integração e suporte — é cobrada de empresas e governos. O mesmo motor de dados alimenta as duas; muda apenas a porta de entrada e a profundidade.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ponto crítico é que a camada gratuita não é caridade: é o funil de aquisição e o fosso competitivo. Três mecanismos sustentam essa afirmação. Primeiro, distribuição: o painel que o cidadão consulta e que o jornalista cita vira a referência de uma categoria, e referência é o que fecha contrato B2B. Segundo, dados de retorno: quando comunidades e ONGs usam o produto no território, elas devolvem correções e contexto que nenhuma base bruta contém. Terceiro, legitimidade: o Capítulo 10 acerta ao afirmar que o modelo é o ativo, mas o ativo mais difícil de replicar é a confiança pública, e ela só se constrói servindo abertamente à população. Um concorrente pode baixar as mesmas APIs em uma tarde; não pode baixar a reputação de ter sido útil e correto por dois anos.</w:t>
      </w:r>
    </w:p>
    <w:p>
      <w:pPr>
        <w:pStyle w:val="Heading2"/>
      </w:pPr>
      <w:r>
        <w:rPr>
          <w:b/>
          <w:bCs/>
        </w:rPr>
        <w:t xml:space="preserve">11.4 Quatro Produtos de Valor Triplo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As ideias a seguir foram concebidas com o cidadão como usuário primário — a tela que ele abre — e não como dado a ser monetizado. Todas reaproveitam fontes já catalogadas neste documento, apenas reorientando a porta de entrada.</w:t>
      </w:r>
    </w:p>
    <w:p>
      <w:pPr>
        <w:spacing w:after="120" w:before="240" w:line="312"/>
      </w:pPr>
      <w:r>
        <w:rPr>
          <w:rFonts w:ascii="Calibri" w:cs="Calibri" w:eastAsia="Calibri" w:hAnsi="Calibri"/>
          <w:b/>
          <w:bCs/>
          <w:color w:val="0B1220"/>
          <w:sz w:val="26"/>
          <w:szCs w:val="26"/>
        </w:rPr>
        <w:t xml:space="preserve">11.4.1 Bússola Educação-Trabalho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estudantes e famílias escolhem curso e instituição sem saber se a formação tem absorção no próprio território, alimentando frustração, evasão e migração forçada. É a Combinação C (Fuga de Cérebros) vista do lado de quem decide a própria carreira, e não do lado da empresa que caça talento ocioso.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INEP (oferta de cursos por região e área) cruzado com Novo CAGED e RAIS (onde existe vaga e qual o salário para cada formação) e IBGE (migração e renda). O produto responde, em linguagem simples, à pergunta de um jovem: se eu estudar isto aqui, terei trabalho aqui — ou terei de partir?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negócio: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camada pública gratuita para estudantes e escolas; camada paga de painéis e API para universidades (planejamento de oferta), RHs (atração regional) e governos estaduais (política educacional). Financiável por fundações de educação e juventude.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valor está no casamento espaço-temporal entre formação e demanda, calibrado por região. Fontes públicas e agregadas; os microdados do INEP já foram adequados à LGPD pela ANPD, e a operação se mantém em nível agregado, sem reidentificação.</w:t>
      </w:r>
    </w:p>
    <w:p>
      <w:pPr>
        <w:spacing w:after="120" w:before="240" w:line="312"/>
      </w:pPr>
      <w:r>
        <w:rPr>
          <w:rFonts w:ascii="Calibri" w:cs="Calibri" w:eastAsia="Calibri" w:hAnsi="Calibri"/>
          <w:b/>
          <w:bCs/>
          <w:color w:val="0B1220"/>
          <w:sz w:val="26"/>
          <w:szCs w:val="26"/>
        </w:rPr>
        <w:t xml:space="preserve">11.4.2 Navegador de Acesso à Saúde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cidadão não sabe que atendimento está realmente disponível perto de si, e a ONG de direito à saúde não tem mapa sistemático de onde o SUS falha. A informação existe, dispersa em sistemas técnicos inacessíveis ao público.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CNES (o que existe em estabelecimentos, leitos e equipamentos) cruzado com SIH e SIA (o que de fato é entregue), DataJud (onde a falta de oferta já virou processo) e IBGE (necessidade demográfica). É a Combinação E com porta de entrada cidadã: em vez de vender a previsão de judicialização para planos, entrega o mapa de acesso e de lacunas a quem precisa do serviço e a quem advoga por ele.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negócio: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navegador público gratuito; camada paga de inteligência de demanda reprimida e previsão de pressão para operadoras, farmacêuticas e gestores. Forte aderência a editais de saúde e a contratos B2G.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distinguir oferta nominal de entrega efetiva é o insight que nenhum portal oficial oferece de forma navegável. DATASUS é anonimizado e o DataJud expõe apenas metadados públicos; manter o nível agregado afasta risco de LGPD.</w:t>
      </w:r>
    </w:p>
    <w:p>
      <w:pPr>
        <w:spacing w:after="120" w:before="240" w:line="312"/>
      </w:pPr>
      <w:r>
        <w:rPr>
          <w:rFonts w:ascii="Calibri" w:cs="Calibri" w:eastAsia="Calibri" w:hAnsi="Calibri"/>
          <w:b/>
          <w:bCs/>
          <w:color w:val="0B1220"/>
          <w:sz w:val="26"/>
          <w:szCs w:val="26"/>
        </w:rPr>
        <w:t xml:space="preserve">11.4.3 Alerta de Fumaça e Qualidade do Ar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populações vulneráveis — asmáticos, idosos, crianças, gestantes — são atingidas por fumaça de queimadas e episódios de má qualidade do ar sem qualquer aviso prévio acionável no nível local.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INPE (focos de queimada e estimativa de PM2,5) cruzado com INMET (vento e umidade que dispersam ou concentram a fumaça) e DATASUS (linha de base de internação respiratória por região). O produto converte sinais técnicos de satélite em um alerta simples e antecipado, distribuído por escolas e postos de saúde.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negócio: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alerta público gratuito; camada paga para seguros de saúde, empresas com trabalho a céu aberto e agro responsável que precisam de histórico e laudo de exposição. Financiamento misto com filantropia ambiental e de saúde.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tradução de raster de satélite em aviso de saúde acionável no nível municipal é a barreira técnica. O INPE proíbe redistribuir o raster bruto, mas a análise derivada é permitida, com atribuição obrigatória da fonte.</w:t>
      </w:r>
    </w:p>
    <w:p>
      <w:pPr>
        <w:spacing w:after="120" w:before="240" w:line="312"/>
      </w:pPr>
      <w:r>
        <w:rPr>
          <w:rFonts w:ascii="Calibri" w:cs="Calibri" w:eastAsia="Calibri" w:hAnsi="Calibri"/>
          <w:b/>
          <w:bCs/>
          <w:color w:val="0B1220"/>
          <w:sz w:val="26"/>
          <w:szCs w:val="26"/>
        </w:rPr>
        <w:t xml:space="preserve">11.4.4 Painel do Cidadão Municipal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Problema: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morador, o vereador e o jornalista local não dispõem de um retrato integrado e atualizado de como anda a própria cidade em emprego, saúde, ambiente e crédito. Os dados existem, mas exigem competência técnica que o cidadão comum não tem.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Fontes e combinação: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é o Índice de Vulnerabilidade Municipal (Combinação F) traduzido para linguagem comum e aberto ao público — emprego (CAGED), estresse financeiro (BCB ESTBAN), pressão de saúde (DATASUS), risco ambiental (INPE e INMET), descompasso educacional (INEP) e litigação (DataJud), com histórico e comparação entre cidades.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Modelo de negócio: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painel gratuito para população, imprensa e câmaras; camada paga de API, séries históricas, comparativos e relatórios sob medida para consultorias, fundos de impacto e governo. É o open-core cívico em sua forma mais nítida.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Diferencial e análise legal: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síntese de seis dimensões em um índice navegável e confiável é o ativo, reforçado por cada cidade adicionada. Todas as fontes são agregadas e de uso livre com atribuição; a única cautela é manter rigor metodológico para que a classificação não estigmatize injustamente um município.</w:t>
      </w:r>
    </w:p>
    <w:p>
      <w:pPr>
        <w:pStyle w:val="Heading2"/>
      </w:pPr>
      <w:r>
        <w:rPr>
          <w:b/>
          <w:bCs/>
        </w:rPr>
        <w:t xml:space="preserve">11.5 Tabela: Quem Ganha o Quê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leitura tripla de cada produto fica explícita quando se discrimina o ganho de cada público. É essa coincidência de interesses sobre a mesma informação que caracteriza a camada cívica.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6"/>
        <w:gridCol w:w="2487"/>
        <w:gridCol w:w="2487"/>
      </w:tblGrid>
      <w:tr>
        <w:trPr>
          <w:tblHeader/>
        </w:trPr>
        <w:tc>
          <w:tcPr>
            <w:tcW w:type="dxa" w:w="19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0B1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Produto</w:t>
            </w:r>
          </w:p>
        </w:tc>
        <w:tc>
          <w:tcPr>
            <w:tcW w:type="dxa" w:w="2486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0B1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Cidadão</w:t>
            </w:r>
          </w:p>
        </w:tc>
        <w:tc>
          <w:tcPr>
            <w:tcW w:type="dxa" w:w="2487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0B1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Empresa</w:t>
            </w:r>
          </w:p>
        </w:tc>
        <w:tc>
          <w:tcPr>
            <w:tcW w:type="dxa" w:w="2487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0B1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ONG / Sociedade civil</w:t>
            </w:r>
          </w:p>
        </w:tc>
      </w:tr>
      <w:tr>
        <w:tc>
          <w:tcPr>
            <w:tcW w:type="dxa" w:w="19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Bússola Educação-Trabalho</w:t>
            </w:r>
          </w:p>
        </w:tc>
        <w:tc>
          <w:tcPr>
            <w:tcW w:type="dxa" w:w="2486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Escolhe curso com base em absorção real</w:t>
            </w:r>
          </w:p>
        </w:tc>
        <w:tc>
          <w:tcPr>
            <w:tcW w:type="dxa" w:w="2487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Universidade e RH planejam oferta e atração</w:t>
            </w:r>
          </w:p>
        </w:tc>
        <w:tc>
          <w:tcPr>
            <w:tcW w:type="dxa" w:w="2487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Terceiro setor de educação direciona apoio</w:t>
            </w:r>
          </w:p>
        </w:tc>
      </w:tr>
      <w:tr>
        <w:tc>
          <w:tcPr>
            <w:tcW w:type="dxa" w:w="19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Navegador de Acesso à Saúde</w:t>
            </w:r>
          </w:p>
        </w:tc>
        <w:tc>
          <w:tcPr>
            <w:tcW w:type="dxa" w:w="2486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Vê onde há atendimento e onde falta</w:t>
            </w:r>
          </w:p>
        </w:tc>
        <w:tc>
          <w:tcPr>
            <w:tcW w:type="dxa" w:w="2487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Operadora e farma medem demanda reprimida</w:t>
            </w:r>
          </w:p>
        </w:tc>
        <w:tc>
          <w:tcPr>
            <w:tcW w:type="dxa" w:w="2487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Defensoria e ONG mapeiam descumprimento</w:t>
            </w:r>
          </w:p>
        </w:tc>
      </w:tr>
      <w:tr>
        <w:tc>
          <w:tcPr>
            <w:tcW w:type="dxa" w:w="19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Alerta de Fumaça e Ar</w:t>
            </w:r>
          </w:p>
        </w:tc>
        <w:tc>
          <w:tcPr>
            <w:tcW w:type="dxa" w:w="2486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Recebe aviso antecipado para se proteger</w:t>
            </w:r>
          </w:p>
        </w:tc>
        <w:tc>
          <w:tcPr>
            <w:tcW w:type="dxa" w:w="2487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Seguro e agro medem exposição e risco</w:t>
            </w:r>
          </w:p>
        </w:tc>
        <w:tc>
          <w:tcPr>
            <w:tcW w:type="dxa" w:w="2487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ONG ambiental e de saúde monitora e cobra</w:t>
            </w:r>
          </w:p>
        </w:tc>
      </w:tr>
      <w:tr>
        <w:tc>
          <w:tcPr>
            <w:tcW w:type="dxa" w:w="1900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Painel do Cidadão Municipal</w:t>
            </w:r>
          </w:p>
        </w:tc>
        <w:tc>
          <w:tcPr>
            <w:tcW w:type="dxa" w:w="2486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Conhece a própria cidade em uma tela</w:t>
            </w:r>
          </w:p>
        </w:tc>
        <w:tc>
          <w:tcPr>
            <w:tcW w:type="dxa" w:w="2487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Consultoria e fundo usam série e comparativo</w:t>
            </w:r>
          </w:p>
        </w:tc>
        <w:tc>
          <w:tcPr>
            <w:tcW w:type="dxa" w:w="2487"/>
            <w:tcBorders>
              <w:top w:val="single" w:color="B9C0C7" w:sz="1"/>
              <w:left w:val="single" w:color="B9C0C7" w:sz="1"/>
              <w:bottom w:val="single" w:color="B9C0C7" w:sz="1"/>
              <w:right w:val="single" w:color="B9C0C7" w:sz="1"/>
            </w:tcBorders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Imprensa e câmara fiscalizam o poder público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Tabela 5: Mapa de valor triplo dos produtos da camada cívica.</w:t>
      </w:r>
    </w:p>
    <w:p>
      <w:pPr>
        <w:pStyle w:val="Heading2"/>
      </w:pPr>
      <w:r>
        <w:rPr>
          <w:b/>
          <w:bCs/>
        </w:rPr>
        <w:t xml:space="preserve">11.6 Modelos de Financiamento da Camada Cívica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equívoco mais comum ao desenhar esses produtos é tratá-los como SaaS B2B convencional, à imagem das ideias dos capítulos anteriores. Produtos de valor triplo se sustentam por uma carteira mista de receita, e ignorar isso subdimensiona drasticamente o capital disponível. As principais fontes são: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Filantropia e editais: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fundações nacionais e internacionais financiam a camada pública de saúde, educação e ambiente, sobretudo em fase de MVP e validação regional.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Contratos de governo (B2G):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secretarias e órgãos federais contratam vigilância, previsão e painéis de gestão, especialmente quando a versão pública já provou utilidade.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Mídia e dados como serviço: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veículos de jornalismo de dados pagam por acesso estruturado e licenciamento, ao mesmo tempo em que ampliam a distribuição e a legitimidade do produto.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Camada B2B premium: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empresas pagam por API, histórico e customização, e essa receita subsidia a operação pública, fechando o ciclo do open-core.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combinação dessas fontes torna o negócio mais resiliente do que um SaaS B2B puro, porque diversifica a dependência e ancora a operação em uma missão que atrai capital paciente.</w:t>
      </w:r>
    </w:p>
    <w:p>
      <w:pPr>
        <w:pStyle w:val="Heading2"/>
      </w:pPr>
      <w:r>
        <w:rPr>
          <w:b/>
          <w:bCs/>
        </w:rPr>
        <w:t xml:space="preserve">11.7 O Risco da Dupla Face: Pró-Social e Antissocial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Esta é a consideração mais importante do capítulo, e a que distingue a camada cívica de um verniz de marketing social. A mesma combinação de dados pode ser pró-social ou antissocial conforme quem a detém e como a enquadra. Três casos do próprio documento ilustram a tensão.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Gentrificação.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Radar de Gentrificação (6.5) e o Radar Imobiliário (4.1) são vendidos como compre antes que valorize. Para o investidor, é oportunidade; para o morador antigo, é o gatilho da própria expulsão. O mesmo sinal que enriquece um remove o outro — e uma ONG de moradia usaria o exato mesmo radar para defender o morador com política antidespejo. O dado não tem lado; quem o segura escolhe o lado.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Redlining.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 Termômetro de Inadimplência Local (4.2) e o Risco de Crédito Territorial (Combinação D) podem degenerar em redlining: marcar bairros pobres como vermelhos leva a fintech a negar crédito a quem mais precisa, aprofundando a exclusão que o Mapa de Inclusão Financeira (4.9) diz querer resolver. São o mesmo dado com o sinal invertido.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Difamação e reidentificação.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Cruzar DataJud com CNPJ para perfis de litigiosidade de microempresas e pessoas físicas (RiskJudge, 4.16) beira a difamação e a reidentificação vedada pela LGPD, ainda que cada base, isolada, seja pública.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conclusão prática é também um critério de seleção e de defesa: os produtos de valor triplo legítimos são aqueles em que entregar a informação ao cidadão e à ONG corrige uma assimetria de poder, em vez de aprofundá-la. Esse não é apenas o teste ético — é o teste de defensabilidade, porque o produto pró-social é o que sobrevive ao escrutínio da imprensa, do regulador e do tribunal, enquanto o produto que explora a assimetria carrega passivo reputacional e jurídico latente.</w:t>
      </w:r>
    </w:p>
    <w:p>
      <w:pPr>
        <w:pStyle w:val="Heading2"/>
      </w:pPr>
      <w:r>
        <w:rPr>
          <w:b/>
          <w:bCs/>
        </w:rPr>
        <w:t xml:space="preserve">11.8 Considerações do Capítulo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camada cívica não é uma alternativa de menor ambição comercial à inteligência de mercado dos capítulos anteriores; é a fronteira em que a defensabilidade deixa de vir apenas da engenharia de dados e passa a vir também da legitimidade pública. Nos negócios de valor triplo, servir à população e às ONGs constrói a confiança, a distribuição e os dados de retorno que nenhum concorrente extrai de uma API. O modelo open-core cívico oferece a forma de financiar essa missão sem sacrificá-la, e o teste da dupla face oferece o critério para escolher quais produtos merecem ser construídos. O ecossistema brasileiro de dados públicos é, antes de uma oportunidade de negócio, um patrimônio coletivo — e os negócios mais duradouros serão os que o tratarem como tal.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12"/>
      <w:outlineLvl w:val="0"/>
    </w:pPr>
    <w:rPr>
      <w:rFonts w:ascii="Calibri" w:cs="Calibri" w:eastAsia="Calibri" w:hAnsi="Calibr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 w:line="312"/>
      <w:outlineLvl w:val="1"/>
    </w:pPr>
    <w:rPr>
      <w:rFonts w:ascii="Calibri" w:cs="Calibri" w:eastAsia="Calibri" w:hAnsi="Calibri"/>
      <w:b/>
      <w:bCs/>
      <w:color w:val="0B12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2026-06-05T03:32:05.232Z</dcterms:created>
  <dcterms:modified xsi:type="dcterms:W3CDTF">2026-06-05T03:32:05.232Z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