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Microsoft YaHei"/>
          <w:b/>
          <w:color w:val="1D6A47"/>
          <w:sz w:val="18"/>
        </w:rPr>
        <w:t>EXPERIMENT ANALYSIS REPORT</w:t>
      </w:r>
    </w:p>
    <w:p>
      <w:pPr>
        <w:spacing w:after="100"/>
      </w:pPr>
      <w:r>
        <w:rPr>
          <w:rFonts w:ascii="Calibri" w:hAnsi="Calibri" w:eastAsia="Microsoft YaHei"/>
          <w:b/>
          <w:color w:val="244B39"/>
          <w:sz w:val="48"/>
        </w:rPr>
        <w:t>首页改版 A/B 实验</w:t>
      </w:r>
    </w:p>
    <w:p>
      <w:pPr>
        <w:spacing w:after="360"/>
      </w:pPr>
      <w:r>
        <w:rPr>
          <w:rFonts w:ascii="Calibri" w:hAnsi="Calibri" w:eastAsia="Microsoft YaHei"/>
          <w:b w:val="0"/>
          <w:color w:val="66726C"/>
          <w:sz w:val="28"/>
        </w:rPr>
        <w:t>A/B 实验效应评估报告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244B39"/>
                <w:sz w:val="20"/>
              </w:rPr>
              <w:t>报告生成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2026-07-07 02:11</w:t>
            </w:r>
          </w:p>
        </w:tc>
      </w:tr>
      <w:tr>
        <w:tc>
          <w:tcPr>
            <w:tcW w:type="dxa" w:w="2700"/>
            <w:shd w:fill="F2F4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244B39"/>
                <w:sz w:val="20"/>
              </w:rPr>
              <w:t>分析人员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CausaLab 演示用户</w:t>
            </w:r>
          </w:p>
        </w:tc>
      </w:tr>
      <w:tr>
        <w:tc>
          <w:tcPr>
            <w:tcW w:type="dxa" w:w="2700"/>
            <w:shd w:fill="F2F4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244B39"/>
                <w:sz w:val="20"/>
              </w:rPr>
              <w:t>核心指标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注册转化率</w:t>
            </w:r>
          </w:p>
        </w:tc>
      </w:tr>
      <w:tr>
        <w:tc>
          <w:tcPr>
            <w:tcW w:type="dxa" w:w="2700"/>
            <w:shd w:fill="F2F4F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244B39"/>
                <w:sz w:val="20"/>
              </w:rPr>
              <w:t>统计方法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两比例 Z 检验 + 参数 Bootstrap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1D6A47"/>
          <w:sz w:val="32"/>
        </w:rPr>
        <w:t>1. 执行摘要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4F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244B39"/>
                <w:sz w:val="22"/>
              </w:rPr>
              <w:t>统计决策：拒绝原假设</w:t>
              <w:br/>
              <w:t>实验组注册转化率显著高于对照组，可在业务价值与风险评估后考虑推广。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1D6A47"/>
          <w:sz w:val="32"/>
        </w:rPr>
        <w:t>2. 核心结果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shd w:fill="244B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对照组 A</w:t>
            </w:r>
          </w:p>
        </w:tc>
        <w:tc>
          <w:tcPr>
            <w:tcW w:type="dxa" w:w="2400"/>
            <w:shd w:fill="244B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实验组 B</w:t>
            </w:r>
          </w:p>
        </w:tc>
        <w:tc>
          <w:tcPr>
            <w:tcW w:type="dxa" w:w="2280"/>
            <w:shd w:fill="244B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绝对效应</w:t>
            </w:r>
          </w:p>
        </w:tc>
        <w:tc>
          <w:tcPr>
            <w:tcW w:type="dxa" w:w="2280"/>
            <w:shd w:fill="244B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p 值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22"/>
              </w:rPr>
              <w:t>10.00%</w:t>
              <w:br/>
              <w:t>n = 5000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sz w:val="22"/>
              </w:rPr>
              <w:t>13.00%</w:t>
              <w:br/>
              <w:t>n = 5000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D6A47"/>
                <w:sz w:val="22"/>
              </w:rPr>
              <w:t>3.00%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D6A47"/>
                <w:sz w:val="22"/>
              </w:rPr>
              <w:t>&lt; 0.0001</w:t>
            </w:r>
          </w:p>
        </w:tc>
      </w:tr>
    </w:tbl>
    <w:p>
      <w:pPr>
        <w:spacing w:before="160"/>
      </w:pPr>
      <w:r>
        <w:rPr>
          <w:rFonts w:ascii="Calibri" w:hAnsi="Calibri" w:eastAsia="Microsoft YaHei"/>
          <w:b/>
          <w:color w:val="244B39"/>
          <w:sz w:val="22"/>
        </w:rPr>
        <w:t>95% 置信区间：</w:t>
      </w:r>
      <w:r>
        <w:rPr>
          <w:rFonts w:ascii="Calibri" w:hAnsi="Calibri" w:eastAsia="Microsoft YaHei"/>
          <w:b w:val="0"/>
          <w:sz w:val="22"/>
        </w:rPr>
        <w:t>[1.70%, 4.30%]</w:t>
      </w:r>
    </w:p>
    <w:p>
      <w:r>
        <w:rPr>
          <w:rFonts w:ascii="Calibri" w:hAnsi="Calibri" w:eastAsia="Microsoft YaHei"/>
          <w:b/>
          <w:color w:val="244B39"/>
          <w:sz w:val="22"/>
        </w:rPr>
        <w:t>相对变化：</w:t>
      </w:r>
      <w:r>
        <w:rPr>
          <w:rFonts w:ascii="Calibri" w:hAnsi="Calibri" w:eastAsia="Microsoft YaHei"/>
          <w:b w:val="0"/>
          <w:sz w:val="22"/>
        </w:rPr>
        <w:t>30.00%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D6A47"/>
          <w:sz w:val="32"/>
        </w:rPr>
        <w:t>3. 方法与判断规则</w:t>
      </w:r>
    </w:p>
    <w:p>
      <w:r>
        <w:t>本报告使用 两比例 Z 检验 + 参数 Bootstrap。显著性水平 α = 0.050，当 p 值小于 α 时拒绝原假设。报告同时给出效应大小与置信区间，以避免仅依据统计显著性判断业务价值。</w:t>
      </w:r>
    </w:p>
    <w:p>
      <w:r>
        <w:t>分析前数据质量评分为 88/100；该评分应与缺失、重复、异常值及分组比例诊断结合解释。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1D6A47"/>
          <w:sz w:val="32"/>
        </w:rPr>
        <w:t>4. 结论与使用建议</w:t>
      </w:r>
    </w:p>
    <w:p>
      <w:r>
        <w:t>实验组注册转化率显著高于对照组，可在业务价值与风险评估后考虑推广。</w:t>
      </w:r>
    </w:p>
    <w:p>
      <w:pPr>
        <w:pStyle w:val="ListBullet"/>
        <w:spacing w:after="160"/>
        <w:ind w:left="720" w:hanging="360"/>
      </w:pPr>
      <w:r>
        <w:rPr>
          <w:rFonts w:ascii="Calibri" w:hAnsi="Calibri" w:eastAsia="Microsoft YaHei"/>
          <w:b w:val="0"/>
          <w:sz w:val="22"/>
        </w:rPr>
        <w:t>统计显著不等同于业务收益，需要结合实施成本。</w:t>
      </w:r>
    </w:p>
    <w:p>
      <w:pPr>
        <w:pStyle w:val="ListBullet"/>
        <w:spacing w:after="160"/>
        <w:ind w:left="720" w:hanging="360"/>
      </w:pPr>
      <w:r>
        <w:rPr>
          <w:rFonts w:ascii="Calibri" w:hAnsi="Calibri" w:eastAsia="Microsoft YaHei"/>
          <w:b w:val="0"/>
          <w:sz w:val="22"/>
        </w:rPr>
        <w:t>建议持续监控上线后的长期指标与护栏指标。</w:t>
      </w:r>
    </w:p>
    <w:p>
      <w:pPr>
        <w:spacing w:before="360"/>
        <w:jc w:val="center"/>
      </w:pPr>
      <w:r>
        <w:rPr>
          <w:rFonts w:ascii="Calibri" w:hAnsi="Calibri" w:eastAsia="Microsoft YaHei"/>
          <w:b w:val="0"/>
          <w:color w:val="66726C"/>
          <w:sz w:val="18"/>
        </w:rPr>
        <w:t>本报告由 CausaLab V1.0 自动生成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26C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66726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26C"/>
        <w:sz w:val="18"/>
      </w:rPr>
      <w:t>CausaLab · 智能实验设计与效应评估平台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D6A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4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